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94" w:lineRule="exact"/>
        <w:ind w:firstLine="0" w:firstLineChars="0"/>
        <w:jc w:val="left"/>
        <w:rPr>
          <w:rFonts w:ascii="方正黑体_GBK" w:hAnsi="Times New Roman" w:eastAsia="方正黑体_GBK"/>
          <w:szCs w:val="32"/>
        </w:rPr>
      </w:pPr>
      <w:r>
        <w:rPr>
          <w:rFonts w:hint="eastAsia" w:ascii="方正黑体_GBK" w:hAnsi="Times New Roman" w:eastAsia="方正黑体_GBK"/>
          <w:szCs w:val="32"/>
        </w:rPr>
        <w:t>附件</w:t>
      </w:r>
    </w:p>
    <w:p>
      <w:pPr>
        <w:spacing w:line="594" w:lineRule="exact"/>
        <w:ind w:firstLine="0" w:firstLineChars="0"/>
        <w:jc w:val="center"/>
        <w:rPr>
          <w:rFonts w:ascii="Times New Roman" w:hAnsi="Times New Roman" w:eastAsia="方正小标宋_GBK" w:cs="Times New Roman"/>
          <w:sz w:val="44"/>
          <w:szCs w:val="36"/>
        </w:rPr>
      </w:pPr>
      <w:r>
        <w:rPr>
          <w:rFonts w:hint="eastAsia" w:ascii="Times New Roman" w:hAnsi="Times New Roman" w:eastAsia="方正小标宋_GBK" w:cs="Times New Roman"/>
          <w:sz w:val="44"/>
          <w:szCs w:val="36"/>
        </w:rPr>
        <w:t>第二届成渝地区双城</w:t>
      </w:r>
      <w:r>
        <w:rPr>
          <w:rFonts w:ascii="Times New Roman" w:hAnsi="Times New Roman" w:eastAsia="方正小标宋_GBK" w:cs="Times New Roman"/>
          <w:sz w:val="44"/>
          <w:szCs w:val="36"/>
        </w:rPr>
        <w:t>经济圈</w:t>
      </w:r>
      <w:r>
        <w:rPr>
          <w:rFonts w:hint="eastAsia" w:ascii="Times New Roman" w:hAnsi="Times New Roman" w:eastAsia="方正小标宋_GBK" w:cs="Times New Roman"/>
          <w:sz w:val="44"/>
          <w:szCs w:val="36"/>
        </w:rPr>
        <w:t>西部科学城</w:t>
      </w:r>
    </w:p>
    <w:p>
      <w:pPr>
        <w:spacing w:line="594" w:lineRule="exact"/>
        <w:ind w:firstLine="0" w:firstLineChars="0"/>
        <w:jc w:val="center"/>
        <w:rPr>
          <w:rFonts w:ascii="Times New Roman" w:hAnsi="Times New Roman" w:eastAsia="方正小标宋_GBK" w:cs="Times New Roman"/>
          <w:spacing w:val="-6"/>
          <w:sz w:val="44"/>
          <w:szCs w:val="36"/>
        </w:rPr>
      </w:pPr>
      <w:r>
        <w:rPr>
          <w:rFonts w:hint="eastAsia" w:ascii="Times New Roman" w:hAnsi="Times New Roman" w:eastAsia="方正小标宋_GBK" w:cs="Times New Roman"/>
          <w:spacing w:val="-6"/>
          <w:sz w:val="44"/>
          <w:szCs w:val="36"/>
        </w:rPr>
        <w:t>高价值专利培育、高质量成果转化大赛活动方案</w:t>
      </w:r>
    </w:p>
    <w:p>
      <w:pPr>
        <w:spacing w:line="594" w:lineRule="exact"/>
        <w:ind w:firstLine="640"/>
        <w:rPr>
          <w:rFonts w:ascii="Times New Roman" w:hAnsi="Times New Roman" w:cs="Times New Roman"/>
          <w:szCs w:val="32"/>
        </w:rPr>
      </w:pPr>
    </w:p>
    <w:p>
      <w:pPr>
        <w:spacing w:line="594" w:lineRule="exact"/>
        <w:ind w:firstLine="640"/>
        <w:rPr>
          <w:rFonts w:ascii="Times New Roman" w:hAnsi="Times New Roman" w:eastAsia="方正黑体_GBK" w:cs="Times New Roman"/>
          <w:szCs w:val="32"/>
        </w:rPr>
      </w:pPr>
      <w:r>
        <w:rPr>
          <w:rFonts w:hint="eastAsia" w:ascii="Times New Roman" w:hAnsi="Times New Roman" w:eastAsia="方正黑体_GBK" w:cs="Times New Roman"/>
          <w:szCs w:val="32"/>
        </w:rPr>
        <w:t>一、活动背景</w:t>
      </w:r>
    </w:p>
    <w:p>
      <w:pPr>
        <w:spacing w:line="594" w:lineRule="exact"/>
        <w:ind w:firstLine="640"/>
        <w:rPr>
          <w:rFonts w:ascii="Times New Roman" w:hAnsi="Times New Roman" w:cs="Times New Roman"/>
          <w:spacing w:val="-2"/>
          <w:szCs w:val="32"/>
        </w:rPr>
      </w:pPr>
      <w:r>
        <w:rPr>
          <w:rFonts w:ascii="Times New Roman" w:hAnsi="Times New Roman" w:cs="Times New Roman"/>
          <w:szCs w:val="32"/>
        </w:rPr>
        <w:t>随着我国经济飞速发展，高价值专利在支撑产业创新发展方面发</w:t>
      </w:r>
      <w:r>
        <w:rPr>
          <w:rFonts w:ascii="Times New Roman" w:hAnsi="Times New Roman" w:cs="Times New Roman"/>
          <w:spacing w:val="-2"/>
          <w:szCs w:val="32"/>
        </w:rPr>
        <w:t>挥了越来越重要的作用。高价值专利培育是知识产权运营的源头活水，举办以高价值专利培育、高质量成果转化为主题的创新大赛，高度契合我国知识产权事业高质量发展新阶段和运营体系建设新要求，对于倡导价值导向的知识产权理念，挖掘优质知识产权项目，提升知识产权运营能力具有重要的意义。</w:t>
      </w:r>
      <w:r>
        <w:rPr>
          <w:rFonts w:hint="eastAsia" w:ascii="Times New Roman" w:hAnsi="Times New Roman" w:cs="Times New Roman"/>
          <w:spacing w:val="-2"/>
          <w:szCs w:val="32"/>
        </w:rPr>
        <w:t>2020年首届成渝地区双城</w:t>
      </w:r>
      <w:r>
        <w:rPr>
          <w:rFonts w:ascii="Times New Roman" w:hAnsi="Times New Roman" w:cs="Times New Roman"/>
          <w:spacing w:val="-2"/>
          <w:szCs w:val="32"/>
        </w:rPr>
        <w:t>经济圈</w:t>
      </w:r>
      <w:r>
        <w:rPr>
          <w:rFonts w:hint="eastAsia" w:ascii="Times New Roman" w:hAnsi="Times New Roman" w:cs="Times New Roman"/>
          <w:spacing w:val="-2"/>
          <w:szCs w:val="32"/>
        </w:rPr>
        <w:t>西部科学城双高赛成功举办，有效搭建了</w:t>
      </w:r>
      <w:r>
        <w:rPr>
          <w:rFonts w:ascii="Times New Roman" w:hAnsi="Times New Roman" w:cs="Times New Roman"/>
          <w:spacing w:val="-2"/>
          <w:szCs w:val="32"/>
        </w:rPr>
        <w:t>一个高价值专利培育、高质量科技成果转化的汇聚交流和价值实现平台，筛选</w:t>
      </w:r>
      <w:r>
        <w:rPr>
          <w:rFonts w:hint="eastAsia" w:ascii="Times New Roman" w:hAnsi="Times New Roman" w:cs="Times New Roman"/>
          <w:spacing w:val="-2"/>
          <w:szCs w:val="32"/>
        </w:rPr>
        <w:t>了</w:t>
      </w:r>
      <w:r>
        <w:rPr>
          <w:rFonts w:ascii="Times New Roman" w:hAnsi="Times New Roman" w:cs="Times New Roman"/>
          <w:spacing w:val="-2"/>
          <w:szCs w:val="32"/>
        </w:rPr>
        <w:t>一批技术领先、市场广阔、知识产权优势明显的创新项目，</w:t>
      </w:r>
      <w:r>
        <w:rPr>
          <w:rFonts w:hint="eastAsia" w:ascii="Times New Roman" w:hAnsi="Times New Roman" w:cs="Times New Roman"/>
          <w:spacing w:val="-2"/>
          <w:szCs w:val="32"/>
        </w:rPr>
        <w:t>为</w:t>
      </w:r>
      <w:r>
        <w:rPr>
          <w:rFonts w:ascii="Times New Roman" w:hAnsi="Times New Roman" w:cs="Times New Roman"/>
          <w:spacing w:val="-2"/>
          <w:szCs w:val="32"/>
        </w:rPr>
        <w:t>西部科学城科技创新资源集聚发展</w:t>
      </w:r>
      <w:r>
        <w:rPr>
          <w:rFonts w:hint="eastAsia" w:ascii="Times New Roman" w:hAnsi="Times New Roman" w:cs="Times New Roman"/>
          <w:spacing w:val="-2"/>
          <w:szCs w:val="32"/>
        </w:rPr>
        <w:t>提供了</w:t>
      </w:r>
      <w:r>
        <w:rPr>
          <w:rFonts w:ascii="Times New Roman" w:hAnsi="Times New Roman" w:cs="Times New Roman"/>
          <w:spacing w:val="-2"/>
          <w:szCs w:val="32"/>
        </w:rPr>
        <w:t>积极支撑。</w:t>
      </w:r>
    </w:p>
    <w:p>
      <w:pPr>
        <w:spacing w:line="594" w:lineRule="exact"/>
        <w:ind w:firstLine="640"/>
        <w:rPr>
          <w:rFonts w:ascii="Times New Roman" w:hAnsi="Times New Roman" w:eastAsia="方正黑体_GBK" w:cs="Times New Roman"/>
          <w:szCs w:val="32"/>
        </w:rPr>
      </w:pPr>
      <w:r>
        <w:rPr>
          <w:rFonts w:hint="eastAsia" w:ascii="Times New Roman" w:hAnsi="Times New Roman" w:eastAsia="方正黑体_GBK" w:cs="Times New Roman"/>
          <w:szCs w:val="32"/>
        </w:rPr>
        <w:t>二、活动意义</w:t>
      </w:r>
    </w:p>
    <w:p>
      <w:pPr>
        <w:spacing w:line="594" w:lineRule="exact"/>
        <w:ind w:firstLine="640"/>
        <w:rPr>
          <w:rFonts w:ascii="Times New Roman" w:hAnsi="Times New Roman" w:cs="Times New Roman"/>
          <w:szCs w:val="32"/>
        </w:rPr>
      </w:pPr>
      <w:r>
        <w:rPr>
          <w:rFonts w:ascii="Times New Roman" w:hAnsi="Times New Roman" w:cs="Times New Roman"/>
          <w:szCs w:val="32"/>
        </w:rPr>
        <w:t>2021年第二届</w:t>
      </w:r>
      <w:r>
        <w:rPr>
          <w:rFonts w:hint="eastAsia" w:ascii="Times New Roman" w:hAnsi="Times New Roman" w:cs="Times New Roman"/>
          <w:szCs w:val="32"/>
        </w:rPr>
        <w:t>成渝地区双城</w:t>
      </w:r>
      <w:r>
        <w:rPr>
          <w:rFonts w:ascii="Times New Roman" w:hAnsi="Times New Roman" w:cs="Times New Roman"/>
          <w:szCs w:val="32"/>
        </w:rPr>
        <w:t>经济圈西部科学城双高赛</w:t>
      </w:r>
      <w:r>
        <w:rPr>
          <w:rFonts w:hint="eastAsia" w:ascii="Times New Roman" w:hAnsi="Times New Roman" w:cs="Times New Roman"/>
          <w:szCs w:val="32"/>
        </w:rPr>
        <w:t>是成渝地区</w:t>
      </w:r>
      <w:r>
        <w:rPr>
          <w:rFonts w:ascii="Times New Roman" w:hAnsi="Times New Roman" w:cs="Times New Roman"/>
          <w:szCs w:val="32"/>
        </w:rPr>
        <w:t>创新创业与科技成果转化的重要活动之一，大赛</w:t>
      </w:r>
      <w:r>
        <w:rPr>
          <w:rFonts w:hint="eastAsia" w:ascii="Times New Roman" w:hAnsi="Times New Roman" w:cs="Times New Roman"/>
          <w:szCs w:val="32"/>
        </w:rPr>
        <w:t>将</w:t>
      </w:r>
      <w:r>
        <w:rPr>
          <w:rFonts w:ascii="Times New Roman" w:hAnsi="Times New Roman" w:cs="Times New Roman"/>
          <w:szCs w:val="32"/>
        </w:rPr>
        <w:t>重点展现成渝地区优质知识产权创新成果、宣传高价值专利培育理念、营造良好的知识产权文化氛围，打造良好的知识产权创造、保护和运用环境。</w:t>
      </w:r>
    </w:p>
    <w:p>
      <w:pPr>
        <w:spacing w:line="594" w:lineRule="exact"/>
        <w:ind w:firstLine="640"/>
        <w:rPr>
          <w:rFonts w:ascii="Times New Roman" w:hAnsi="Times New Roman" w:cs="Times New Roman"/>
          <w:szCs w:val="32"/>
        </w:rPr>
      </w:pPr>
      <w:r>
        <w:rPr>
          <w:rFonts w:hint="eastAsia" w:ascii="Times New Roman" w:hAnsi="Times New Roman" w:cs="Times New Roman"/>
          <w:szCs w:val="32"/>
        </w:rPr>
        <w:t>本届大赛</w:t>
      </w:r>
      <w:r>
        <w:rPr>
          <w:rFonts w:ascii="Times New Roman" w:hAnsi="Times New Roman" w:cs="Times New Roman"/>
          <w:szCs w:val="32"/>
        </w:rPr>
        <w:t>将让</w:t>
      </w:r>
      <w:r>
        <w:rPr>
          <w:rFonts w:hint="eastAsia" w:ascii="Times New Roman" w:hAnsi="Times New Roman" w:cs="Times New Roman"/>
          <w:szCs w:val="32"/>
        </w:rPr>
        <w:t>成渝</w:t>
      </w:r>
      <w:r>
        <w:rPr>
          <w:rFonts w:ascii="Times New Roman" w:hAnsi="Times New Roman" w:cs="Times New Roman"/>
          <w:szCs w:val="32"/>
        </w:rPr>
        <w:t>地区和全国更多创新创业主体更加重视高价值专利培育，发挥高价值专利在产业创新和科技成果转化中的重要作用。在此基础之上，发掘优质创新项目，发现优秀创新人才；以知识产权和政策创新为产业创新和科技人才赋能，探索高价值专利运营转化、知识产权金融服务新途径；助力企业技术革新和创新发展，促进高校院所成果溢出，</w:t>
      </w:r>
      <w:r>
        <w:rPr>
          <w:rFonts w:hint="eastAsia" w:ascii="Times New Roman" w:hAnsi="Times New Roman" w:cs="Times New Roman"/>
          <w:szCs w:val="32"/>
        </w:rPr>
        <w:t>发挥</w:t>
      </w:r>
      <w:r>
        <w:rPr>
          <w:rFonts w:ascii="Times New Roman" w:hAnsi="Times New Roman" w:cs="Times New Roman"/>
          <w:szCs w:val="32"/>
        </w:rPr>
        <w:t>服务机构专业能力，支撑成渝</w:t>
      </w:r>
      <w:r>
        <w:rPr>
          <w:rFonts w:hint="eastAsia" w:ascii="Times New Roman" w:hAnsi="Times New Roman" w:cs="Times New Roman"/>
          <w:szCs w:val="32"/>
        </w:rPr>
        <w:t>地区</w:t>
      </w:r>
      <w:r>
        <w:rPr>
          <w:rFonts w:ascii="Times New Roman" w:hAnsi="Times New Roman" w:cs="Times New Roman"/>
          <w:szCs w:val="32"/>
        </w:rPr>
        <w:t>双城经济圈高质量发展。</w:t>
      </w:r>
    </w:p>
    <w:p>
      <w:pPr>
        <w:spacing w:line="594" w:lineRule="exact"/>
        <w:ind w:firstLine="640"/>
        <w:rPr>
          <w:rFonts w:ascii="Times New Roman" w:hAnsi="Times New Roman" w:eastAsia="方正黑体_GBK" w:cs="Times New Roman"/>
          <w:szCs w:val="32"/>
        </w:rPr>
      </w:pPr>
      <w:r>
        <w:rPr>
          <w:rFonts w:hint="eastAsia" w:ascii="Times New Roman" w:hAnsi="Times New Roman" w:eastAsia="方正黑体_GBK" w:cs="Times New Roman"/>
          <w:szCs w:val="32"/>
        </w:rPr>
        <w:t>三、活动方案</w:t>
      </w:r>
    </w:p>
    <w:p>
      <w:pPr>
        <w:spacing w:line="594" w:lineRule="exact"/>
        <w:ind w:firstLine="640"/>
        <w:rPr>
          <w:rFonts w:ascii="Times New Roman" w:hAnsi="Times New Roman" w:eastAsia="方正楷体_GBK" w:cs="Times New Roman"/>
          <w:szCs w:val="32"/>
        </w:rPr>
      </w:pPr>
      <w:r>
        <w:rPr>
          <w:rFonts w:hint="eastAsia" w:ascii="Times New Roman" w:hAnsi="Times New Roman" w:eastAsia="方正楷体_GBK" w:cs="Times New Roman"/>
          <w:szCs w:val="32"/>
        </w:rPr>
        <w:t>（一）大赛主题</w:t>
      </w:r>
    </w:p>
    <w:p>
      <w:pPr>
        <w:spacing w:line="594" w:lineRule="exact"/>
        <w:ind w:firstLine="640"/>
        <w:rPr>
          <w:rFonts w:ascii="Times New Roman" w:hAnsi="Times New Roman" w:cs="Times New Roman"/>
          <w:szCs w:val="32"/>
        </w:rPr>
      </w:pPr>
      <w:r>
        <w:rPr>
          <w:rFonts w:hint="eastAsia" w:ascii="Times New Roman" w:hAnsi="Times New Roman" w:cs="Times New Roman"/>
          <w:szCs w:val="32"/>
        </w:rPr>
        <w:t>培育高价值专利，转化高质量成果，促进高质量发展</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（二）组织机构</w:t>
      </w:r>
    </w:p>
    <w:p>
      <w:pPr>
        <w:spacing w:line="594" w:lineRule="exact"/>
        <w:ind w:firstLine="640"/>
        <w:rPr>
          <w:rFonts w:ascii="方正仿宋_GBK" w:hAnsi="方正仿宋_GBK"/>
        </w:rPr>
      </w:pPr>
      <w:r>
        <w:rPr>
          <w:rFonts w:hint="eastAsia" w:ascii="Times New Roman" w:hAnsi="Times New Roman" w:cs="Times New Roman"/>
          <w:szCs w:val="32"/>
        </w:rPr>
        <w:t>主办</w:t>
      </w:r>
      <w:r>
        <w:rPr>
          <w:rFonts w:ascii="Times New Roman" w:hAnsi="Times New Roman" w:cs="Times New Roman"/>
          <w:szCs w:val="32"/>
        </w:rPr>
        <w:t>单位：</w:t>
      </w:r>
      <w:r>
        <w:rPr>
          <w:rFonts w:hint="eastAsia" w:ascii="方正仿宋_GBK" w:hAnsi="方正仿宋_GBK"/>
        </w:rPr>
        <w:t>重庆市知识产权局、重庆市科学技术局、四川省知识产权服务促进中心、四川</w:t>
      </w:r>
      <w:r>
        <w:rPr>
          <w:rFonts w:ascii="方正仿宋_GBK" w:hAnsi="方正仿宋_GBK"/>
        </w:rPr>
        <w:t>省</w:t>
      </w:r>
      <w:r>
        <w:rPr>
          <w:rFonts w:hint="eastAsia" w:ascii="方正仿宋_GBK" w:hAnsi="方正仿宋_GBK"/>
        </w:rPr>
        <w:t>科学技术</w:t>
      </w:r>
      <w:r>
        <w:rPr>
          <w:rFonts w:ascii="方正仿宋_GBK" w:hAnsi="方正仿宋_GBK"/>
        </w:rPr>
        <w:t>厅</w:t>
      </w:r>
    </w:p>
    <w:p>
      <w:pPr>
        <w:spacing w:line="594" w:lineRule="exact"/>
        <w:ind w:firstLine="640"/>
        <w:rPr>
          <w:rFonts w:ascii="方正仿宋_GBK" w:hAnsi="方正仿宋_GBK"/>
        </w:rPr>
      </w:pPr>
      <w:r>
        <w:rPr>
          <w:rFonts w:hint="eastAsia" w:ascii="Times New Roman" w:hAnsi="Times New Roman" w:cs="Times New Roman"/>
          <w:szCs w:val="32"/>
        </w:rPr>
        <w:t>承办</w:t>
      </w:r>
      <w:r>
        <w:rPr>
          <w:rFonts w:ascii="Times New Roman" w:hAnsi="Times New Roman" w:cs="Times New Roman"/>
          <w:szCs w:val="32"/>
        </w:rPr>
        <w:t>单位：</w:t>
      </w:r>
      <w:r>
        <w:rPr>
          <w:rFonts w:hint="eastAsia" w:ascii="方正仿宋_GBK" w:hAnsi="方正仿宋_GBK"/>
        </w:rPr>
        <w:t>重庆市璧山区人民政府、重庆市知识产权保护中心、</w:t>
      </w:r>
      <w:r>
        <w:rPr>
          <w:rFonts w:ascii="方正仿宋_GBK" w:hAnsi="方正仿宋_GBK"/>
        </w:rPr>
        <w:t>四川省</w:t>
      </w:r>
      <w:r>
        <w:rPr>
          <w:rFonts w:hint="eastAsia" w:ascii="方正仿宋_GBK" w:hAnsi="方正仿宋_GBK"/>
        </w:rPr>
        <w:t>知识产权</w:t>
      </w:r>
      <w:r>
        <w:rPr>
          <w:rFonts w:ascii="方正仿宋_GBK" w:hAnsi="方正仿宋_GBK"/>
        </w:rPr>
        <w:t>保护中心</w:t>
      </w:r>
    </w:p>
    <w:p>
      <w:pPr>
        <w:spacing w:line="594" w:lineRule="exact"/>
        <w:ind w:firstLine="640"/>
        <w:rPr>
          <w:rFonts w:ascii="Times New Roman" w:hAnsi="Times New Roman" w:cs="Times New Roman"/>
          <w:szCs w:val="32"/>
        </w:rPr>
      </w:pPr>
      <w:r>
        <w:rPr>
          <w:rFonts w:hint="eastAsia" w:ascii="Times New Roman" w:hAnsi="Times New Roman" w:cs="Times New Roman"/>
          <w:szCs w:val="32"/>
        </w:rPr>
        <w:t>协办</w:t>
      </w:r>
      <w:r>
        <w:rPr>
          <w:rFonts w:ascii="Times New Roman" w:hAnsi="Times New Roman" w:cs="Times New Roman"/>
          <w:szCs w:val="32"/>
        </w:rPr>
        <w:t>单位：</w:t>
      </w:r>
      <w:r>
        <w:rPr>
          <w:rFonts w:hint="eastAsia" w:ascii="方正仿宋_GBK" w:hAnsi="方正仿宋_GBK"/>
        </w:rPr>
        <w:t>璧山高新技术产业开发区管理委员会、重庆</w:t>
      </w:r>
      <w:r>
        <w:rPr>
          <w:rFonts w:ascii="方正仿宋_GBK" w:hAnsi="方正仿宋_GBK"/>
        </w:rPr>
        <w:t>市知识产权研究会、四川省知识产权研究会</w:t>
      </w:r>
    </w:p>
    <w:p>
      <w:pPr>
        <w:spacing w:line="594" w:lineRule="exact"/>
        <w:ind w:firstLine="640"/>
        <w:rPr>
          <w:rFonts w:ascii="Times New Roman" w:hAnsi="Times New Roman" w:cs="Times New Roman"/>
          <w:szCs w:val="32"/>
        </w:rPr>
      </w:pPr>
      <w:r>
        <w:rPr>
          <w:rFonts w:hint="eastAsia" w:ascii="Times New Roman" w:hAnsi="Times New Roman" w:cs="Times New Roman"/>
          <w:szCs w:val="32"/>
        </w:rPr>
        <w:t>执行单位：重庆知识产权大数据研究院有限公司</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（三）参赛条件</w:t>
      </w:r>
    </w:p>
    <w:p>
      <w:pPr>
        <w:spacing w:line="594" w:lineRule="exact"/>
        <w:ind w:firstLine="643"/>
        <w:rPr>
          <w:rFonts w:ascii="Times New Roman" w:hAnsi="Times New Roman" w:cs="Times New Roman"/>
          <w:b/>
          <w:szCs w:val="32"/>
        </w:rPr>
      </w:pPr>
      <w:r>
        <w:rPr>
          <w:rFonts w:ascii="Times New Roman" w:hAnsi="Times New Roman" w:cs="Times New Roman"/>
          <w:b/>
          <w:szCs w:val="32"/>
        </w:rPr>
        <w:t>1. 参赛对象</w:t>
      </w:r>
    </w:p>
    <w:p>
      <w:pPr>
        <w:spacing w:line="594" w:lineRule="exact"/>
        <w:ind w:firstLine="640"/>
        <w:rPr>
          <w:rFonts w:ascii="Times New Roman" w:hAnsi="Times New Roman" w:cs="Times New Roman"/>
          <w:szCs w:val="32"/>
        </w:rPr>
      </w:pPr>
      <w:r>
        <w:rPr>
          <w:rFonts w:ascii="Times New Roman" w:hAnsi="Times New Roman" w:cs="Times New Roman"/>
          <w:szCs w:val="32"/>
        </w:rPr>
        <w:t>面向近两年新推向市场或正处在产品面市前期、具有专利优势的科技创新项目，项目所属产业涉及智能制造、信息技术、生命健康、软件技术、新材料、医疗器械等六大领域。</w:t>
      </w:r>
    </w:p>
    <w:p>
      <w:pPr>
        <w:spacing w:line="594" w:lineRule="exact"/>
        <w:ind w:firstLine="643"/>
        <w:rPr>
          <w:rFonts w:ascii="Times New Roman" w:hAnsi="Times New Roman" w:cs="Times New Roman"/>
          <w:b/>
          <w:szCs w:val="32"/>
        </w:rPr>
      </w:pPr>
      <w:r>
        <w:rPr>
          <w:rFonts w:ascii="Times New Roman" w:hAnsi="Times New Roman" w:cs="Times New Roman"/>
          <w:b/>
          <w:szCs w:val="32"/>
        </w:rPr>
        <w:t>2. 参赛要求</w:t>
      </w:r>
    </w:p>
    <w:p>
      <w:pPr>
        <w:spacing w:line="594" w:lineRule="exact"/>
        <w:ind w:firstLine="640"/>
        <w:rPr>
          <w:rFonts w:ascii="Times New Roman" w:hAnsi="Times New Roman" w:cs="Times New Roman"/>
          <w:szCs w:val="32"/>
        </w:rPr>
      </w:pPr>
      <w:r>
        <w:rPr>
          <w:rFonts w:ascii="Times New Roman" w:hAnsi="Times New Roman" w:cs="Times New Roman"/>
          <w:szCs w:val="32"/>
        </w:rPr>
        <w:t>（1）专利要求。参赛项目应当具有至少一项授权</w:t>
      </w:r>
      <w:r>
        <w:rPr>
          <w:rFonts w:hint="eastAsia" w:ascii="Times New Roman" w:hAnsi="Times New Roman" w:cs="Times New Roman"/>
          <w:szCs w:val="32"/>
        </w:rPr>
        <w:t>发明</w:t>
      </w:r>
      <w:r>
        <w:rPr>
          <w:rFonts w:ascii="Times New Roman" w:hAnsi="Times New Roman" w:cs="Times New Roman"/>
          <w:szCs w:val="32"/>
        </w:rPr>
        <w:t>专利且该专利能够有效保护参赛项目的创新成果。</w:t>
      </w:r>
    </w:p>
    <w:p>
      <w:pPr>
        <w:spacing w:line="594" w:lineRule="exact"/>
        <w:ind w:firstLine="640"/>
        <w:rPr>
          <w:rFonts w:ascii="Times New Roman" w:hAnsi="Times New Roman" w:cs="Times New Roman"/>
          <w:szCs w:val="32"/>
        </w:rPr>
      </w:pPr>
      <w:r>
        <w:rPr>
          <w:rFonts w:ascii="Times New Roman" w:hAnsi="Times New Roman" w:cs="Times New Roman"/>
          <w:szCs w:val="32"/>
        </w:rPr>
        <w:t>（2）团队要求。参赛项目由</w:t>
      </w:r>
      <w:r>
        <w:rPr>
          <w:rFonts w:hint="eastAsia" w:ascii="Times New Roman" w:hAnsi="Times New Roman" w:cs="Times New Roman"/>
          <w:szCs w:val="32"/>
        </w:rPr>
        <w:t>发明</w:t>
      </w:r>
      <w:r>
        <w:rPr>
          <w:rFonts w:ascii="Times New Roman" w:hAnsi="Times New Roman" w:cs="Times New Roman"/>
          <w:szCs w:val="32"/>
        </w:rPr>
        <w:t>专利申请人/专利权人或其所在的企业、高校院所、初创团队等报名参加，也可与相关机构、个人联合报名参赛。</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（四）赛程安排</w:t>
      </w:r>
    </w:p>
    <w:p>
      <w:pPr>
        <w:spacing w:line="594" w:lineRule="exact"/>
        <w:ind w:firstLine="640"/>
        <w:rPr>
          <w:rFonts w:ascii="Times New Roman" w:hAnsi="Times New Roman" w:cs="Times New Roman"/>
          <w:szCs w:val="32"/>
        </w:rPr>
      </w:pPr>
      <w:r>
        <w:rPr>
          <w:rFonts w:ascii="Times New Roman" w:hAnsi="Times New Roman" w:cs="Times New Roman"/>
          <w:szCs w:val="32"/>
        </w:rPr>
        <w:t>第二届</w:t>
      </w:r>
      <w:r>
        <w:rPr>
          <w:rFonts w:hint="eastAsia" w:ascii="Times New Roman" w:hAnsi="Times New Roman" w:cs="Times New Roman"/>
          <w:szCs w:val="32"/>
        </w:rPr>
        <w:t>成渝地区</w:t>
      </w:r>
      <w:r>
        <w:rPr>
          <w:rFonts w:ascii="Times New Roman" w:hAnsi="Times New Roman" w:cs="Times New Roman"/>
          <w:szCs w:val="32"/>
        </w:rPr>
        <w:t>双城经济圈西部科学城双高赛参赛对象为具有高价值专利培育、高质量成果转化前景的优秀科技创新项目，比赛以线上+线下相结合的方式进行，重点考察项目技术先进性、专利质量、成果转化前景、市场前景四个方面，主要包括大赛启动、海选、复赛、决赛和颁奖活动等环节，历时约</w:t>
      </w:r>
      <w:r>
        <w:rPr>
          <w:rFonts w:hint="eastAsia" w:ascii="Times New Roman" w:hAnsi="Times New Roman" w:cs="Times New Roman"/>
          <w:szCs w:val="32"/>
        </w:rPr>
        <w:t>3</w:t>
      </w:r>
      <w:r>
        <w:rPr>
          <w:rFonts w:ascii="Times New Roman" w:hAnsi="Times New Roman" w:cs="Times New Roman"/>
          <w:szCs w:val="32"/>
        </w:rPr>
        <w:t>个月。赛程如下：</w:t>
      </w:r>
    </w:p>
    <w:p>
      <w:pPr>
        <w:spacing w:line="594" w:lineRule="exact"/>
        <w:ind w:firstLine="643"/>
        <w:rPr>
          <w:rFonts w:ascii="Times New Roman" w:hAnsi="Times New Roman" w:cs="Times New Roman"/>
          <w:b/>
          <w:szCs w:val="32"/>
        </w:rPr>
      </w:pPr>
      <w:r>
        <w:rPr>
          <w:rFonts w:ascii="Times New Roman" w:hAnsi="Times New Roman" w:cs="Times New Roman"/>
          <w:b/>
          <w:szCs w:val="32"/>
        </w:rPr>
        <w:t>1. 启动阶段（</w:t>
      </w:r>
      <w:r>
        <w:rPr>
          <w:rFonts w:hint="eastAsia" w:ascii="Times New Roman" w:hAnsi="Times New Roman" w:cs="Times New Roman"/>
          <w:b/>
          <w:szCs w:val="32"/>
        </w:rPr>
        <w:t>8</w:t>
      </w:r>
      <w:r>
        <w:rPr>
          <w:rFonts w:ascii="Times New Roman" w:hAnsi="Times New Roman" w:cs="Times New Roman"/>
          <w:b/>
          <w:szCs w:val="32"/>
        </w:rPr>
        <w:t>月）</w:t>
      </w:r>
    </w:p>
    <w:p>
      <w:pPr>
        <w:spacing w:line="594" w:lineRule="exact"/>
        <w:ind w:firstLine="640"/>
        <w:rPr>
          <w:rFonts w:ascii="Times New Roman" w:hAnsi="Times New Roman" w:cs="Times New Roman"/>
          <w:szCs w:val="32"/>
        </w:rPr>
      </w:pPr>
      <w:r>
        <w:rPr>
          <w:rFonts w:ascii="Times New Roman" w:hAnsi="Times New Roman" w:cs="Times New Roman"/>
          <w:szCs w:val="32"/>
        </w:rPr>
        <w:t>举办大赛新闻发布会，通过媒体、公众号等线上推广和官方通知等多种方式，发布大赛通知并开启报名通道。</w:t>
      </w:r>
    </w:p>
    <w:p>
      <w:pPr>
        <w:spacing w:line="594" w:lineRule="exact"/>
        <w:ind w:firstLine="643"/>
        <w:rPr>
          <w:rFonts w:ascii="Times New Roman" w:hAnsi="Times New Roman" w:cs="Times New Roman"/>
          <w:b/>
          <w:szCs w:val="32"/>
        </w:rPr>
      </w:pPr>
      <w:r>
        <w:rPr>
          <w:rFonts w:ascii="Times New Roman" w:hAnsi="Times New Roman" w:cs="Times New Roman"/>
          <w:b/>
          <w:szCs w:val="32"/>
        </w:rPr>
        <w:t>2. 海选阶段（</w:t>
      </w:r>
      <w:r>
        <w:rPr>
          <w:rFonts w:hint="eastAsia" w:ascii="Times New Roman" w:hAnsi="Times New Roman" w:cs="Times New Roman"/>
          <w:b/>
          <w:szCs w:val="32"/>
        </w:rPr>
        <w:t>8</w:t>
      </w:r>
      <w:r>
        <w:rPr>
          <w:rFonts w:ascii="Times New Roman" w:hAnsi="Times New Roman" w:cs="Times New Roman"/>
          <w:b/>
          <w:szCs w:val="32"/>
        </w:rPr>
        <w:t>月</w:t>
      </w:r>
      <w:r>
        <w:rPr>
          <w:rFonts w:hint="eastAsia" w:ascii="Times New Roman" w:hAnsi="Times New Roman" w:cs="Times New Roman"/>
          <w:b/>
          <w:szCs w:val="32"/>
        </w:rPr>
        <w:t>—9</w:t>
      </w:r>
      <w:r>
        <w:rPr>
          <w:rFonts w:ascii="Times New Roman" w:hAnsi="Times New Roman" w:cs="Times New Roman"/>
          <w:b/>
          <w:szCs w:val="32"/>
        </w:rPr>
        <w:t>月）</w:t>
      </w:r>
    </w:p>
    <w:p>
      <w:pPr>
        <w:spacing w:line="594" w:lineRule="exact"/>
        <w:ind w:firstLine="616"/>
        <w:rPr>
          <w:rFonts w:ascii="Times New Roman" w:hAnsi="Times New Roman" w:cs="Times New Roman"/>
          <w:spacing w:val="-6"/>
          <w:szCs w:val="32"/>
        </w:rPr>
      </w:pPr>
      <w:r>
        <w:rPr>
          <w:rFonts w:ascii="Times New Roman" w:hAnsi="Times New Roman" w:cs="Times New Roman"/>
          <w:spacing w:val="-6"/>
          <w:szCs w:val="32"/>
        </w:rPr>
        <w:t>面向企业、科研机构征集参赛项目，同时设立双高赛海外分赛场进行海外参赛项目征集。对国内外参赛项目资料进行资格初审，确定入围海选项目名单。</w:t>
      </w:r>
      <w:r>
        <w:rPr>
          <w:rFonts w:hint="eastAsia" w:ascii="Times New Roman" w:hAnsi="Times New Roman" w:cs="Times New Roman"/>
          <w:spacing w:val="-6"/>
          <w:szCs w:val="32"/>
        </w:rPr>
        <w:t>在此</w:t>
      </w:r>
      <w:r>
        <w:rPr>
          <w:rFonts w:ascii="Times New Roman" w:hAnsi="Times New Roman" w:cs="Times New Roman"/>
          <w:spacing w:val="-6"/>
          <w:szCs w:val="32"/>
        </w:rPr>
        <w:t>阶段开展双高赛项目成渝双向对接会以及知识产权保护、高价值专利培育等相关沙龙和培训活动。</w:t>
      </w:r>
    </w:p>
    <w:p>
      <w:pPr>
        <w:spacing w:line="594" w:lineRule="exact"/>
        <w:ind w:firstLine="643"/>
        <w:rPr>
          <w:rFonts w:ascii="Times New Roman" w:hAnsi="Times New Roman" w:cs="Times New Roman"/>
          <w:b/>
          <w:szCs w:val="32"/>
        </w:rPr>
      </w:pPr>
      <w:r>
        <w:rPr>
          <w:rFonts w:ascii="Times New Roman" w:hAnsi="Times New Roman" w:cs="Times New Roman"/>
          <w:b/>
          <w:szCs w:val="32"/>
        </w:rPr>
        <w:t>3. 复赛阶段（</w:t>
      </w:r>
      <w:r>
        <w:rPr>
          <w:rFonts w:hint="eastAsia" w:ascii="Times New Roman" w:hAnsi="Times New Roman" w:cs="Times New Roman"/>
          <w:b/>
          <w:szCs w:val="32"/>
        </w:rPr>
        <w:t>10</w:t>
      </w:r>
      <w:r>
        <w:rPr>
          <w:rFonts w:ascii="Times New Roman" w:hAnsi="Times New Roman" w:cs="Times New Roman"/>
          <w:b/>
          <w:szCs w:val="32"/>
        </w:rPr>
        <w:t>月）</w:t>
      </w:r>
    </w:p>
    <w:p>
      <w:pPr>
        <w:spacing w:line="594" w:lineRule="exact"/>
        <w:ind w:firstLine="640"/>
        <w:rPr>
          <w:rFonts w:ascii="Times New Roman" w:hAnsi="Times New Roman" w:cs="Times New Roman"/>
          <w:szCs w:val="32"/>
        </w:rPr>
      </w:pPr>
      <w:r>
        <w:rPr>
          <w:rFonts w:ascii="Times New Roman" w:hAnsi="Times New Roman" w:cs="Times New Roman"/>
          <w:szCs w:val="32"/>
        </w:rPr>
        <w:t>复赛阶段主要完成评审材料准备、组织评审和结果公示。</w:t>
      </w:r>
    </w:p>
    <w:p>
      <w:pPr>
        <w:spacing w:line="594" w:lineRule="exact"/>
        <w:ind w:firstLine="640"/>
        <w:rPr>
          <w:rFonts w:ascii="Times New Roman" w:hAnsi="Times New Roman" w:cs="Times New Roman"/>
          <w:szCs w:val="32"/>
        </w:rPr>
      </w:pPr>
      <w:r>
        <w:rPr>
          <w:rFonts w:ascii="Times New Roman" w:hAnsi="Times New Roman" w:cs="Times New Roman"/>
          <w:szCs w:val="32"/>
        </w:rPr>
        <w:t>评审材料</w:t>
      </w:r>
      <w:r>
        <w:rPr>
          <w:rFonts w:hint="eastAsia" w:ascii="Times New Roman" w:hAnsi="Times New Roman" w:cs="Times New Roman"/>
          <w:szCs w:val="32"/>
        </w:rPr>
        <w:t>准备</w:t>
      </w:r>
      <w:r>
        <w:rPr>
          <w:rFonts w:ascii="Times New Roman" w:hAnsi="Times New Roman" w:cs="Times New Roman"/>
          <w:szCs w:val="32"/>
        </w:rPr>
        <w:t>：包括参赛项目申报材料、项目专利详情列表、专利法律状态情况、核心专利全文、核心专利价值评估报告、企业知识产权报告等资料。</w:t>
      </w:r>
    </w:p>
    <w:p>
      <w:pPr>
        <w:spacing w:line="594" w:lineRule="exact"/>
        <w:ind w:firstLine="640"/>
        <w:rPr>
          <w:rFonts w:ascii="Times New Roman" w:hAnsi="Times New Roman" w:cs="Times New Roman"/>
          <w:szCs w:val="32"/>
        </w:rPr>
      </w:pPr>
      <w:r>
        <w:rPr>
          <w:rFonts w:ascii="Times New Roman" w:hAnsi="Times New Roman" w:cs="Times New Roman"/>
          <w:szCs w:val="32"/>
        </w:rPr>
        <w:t>组织评审：对参赛项目资料进行线上展示，由专家评委针对项目内容进行综合评分，重点考量参赛项目的专利培育价值及成果转化质量。综合线上展示和专家评审意见，选取</w:t>
      </w:r>
      <w:r>
        <w:rPr>
          <w:rFonts w:hint="eastAsia" w:ascii="Times New Roman" w:hAnsi="Times New Roman" w:cs="Times New Roman"/>
          <w:szCs w:val="32"/>
        </w:rPr>
        <w:t>20</w:t>
      </w:r>
      <w:r>
        <w:rPr>
          <w:rFonts w:ascii="Times New Roman" w:hAnsi="Times New Roman" w:cs="Times New Roman"/>
          <w:szCs w:val="32"/>
        </w:rPr>
        <w:t>个优秀项目进入决赛。</w:t>
      </w:r>
    </w:p>
    <w:p>
      <w:pPr>
        <w:spacing w:line="594" w:lineRule="exact"/>
        <w:ind w:firstLine="640"/>
        <w:rPr>
          <w:rFonts w:ascii="Times New Roman" w:hAnsi="Times New Roman" w:cs="Times New Roman"/>
          <w:szCs w:val="32"/>
        </w:rPr>
      </w:pPr>
      <w:r>
        <w:rPr>
          <w:rFonts w:ascii="Times New Roman" w:hAnsi="Times New Roman" w:cs="Times New Roman"/>
          <w:szCs w:val="32"/>
        </w:rPr>
        <w:t>结果公示：评审结果通过官方公众号、新闻媒体等发布，向社会公示决赛入围名单。</w:t>
      </w:r>
    </w:p>
    <w:p>
      <w:pPr>
        <w:spacing w:line="594" w:lineRule="exact"/>
        <w:ind w:firstLine="643"/>
        <w:rPr>
          <w:rFonts w:ascii="Times New Roman" w:hAnsi="Times New Roman" w:cs="Times New Roman"/>
          <w:b/>
          <w:szCs w:val="32"/>
        </w:rPr>
      </w:pPr>
      <w:r>
        <w:rPr>
          <w:rFonts w:ascii="Times New Roman" w:hAnsi="Times New Roman" w:cs="Times New Roman"/>
          <w:b/>
          <w:szCs w:val="32"/>
        </w:rPr>
        <w:t>4. 决赛阶段（</w:t>
      </w:r>
      <w:r>
        <w:rPr>
          <w:rFonts w:hint="eastAsia" w:ascii="Times New Roman" w:hAnsi="Times New Roman" w:cs="Times New Roman"/>
          <w:b/>
          <w:szCs w:val="32"/>
        </w:rPr>
        <w:t>11月下旬</w:t>
      </w:r>
      <w:r>
        <w:rPr>
          <w:rFonts w:ascii="Times New Roman" w:hAnsi="Times New Roman" w:cs="Times New Roman"/>
          <w:b/>
          <w:szCs w:val="32"/>
        </w:rPr>
        <w:t>）</w:t>
      </w:r>
    </w:p>
    <w:p>
      <w:pPr>
        <w:spacing w:line="594" w:lineRule="exact"/>
        <w:ind w:firstLine="640"/>
        <w:rPr>
          <w:rFonts w:ascii="Times New Roman" w:hAnsi="Times New Roman" w:cs="Times New Roman"/>
          <w:szCs w:val="32"/>
        </w:rPr>
      </w:pPr>
      <w:r>
        <w:rPr>
          <w:rFonts w:ascii="Times New Roman" w:hAnsi="Times New Roman" w:cs="Times New Roman"/>
          <w:szCs w:val="32"/>
        </w:rPr>
        <w:t>决赛分为项目展示、创新路演、专利评议、互动答辩、评委打分五个环节，将邀请著名企业家、科学家、投资人等资深专家参与专利评议和项目评审，重点考察项目技术先进性、专利培育质量和项目市场竞争力，在研发方向、行业模式、投资等方面提出意见和建议。</w:t>
      </w:r>
    </w:p>
    <w:p>
      <w:pPr>
        <w:spacing w:line="594" w:lineRule="exact"/>
        <w:ind w:firstLine="643"/>
        <w:rPr>
          <w:rFonts w:ascii="Times New Roman" w:hAnsi="Times New Roman" w:cs="Times New Roman"/>
          <w:b/>
          <w:szCs w:val="32"/>
        </w:rPr>
      </w:pPr>
      <w:r>
        <w:rPr>
          <w:rFonts w:ascii="Times New Roman" w:hAnsi="Times New Roman" w:cs="Times New Roman"/>
          <w:b/>
          <w:szCs w:val="32"/>
        </w:rPr>
        <w:t>5. 颁奖活动（1</w:t>
      </w:r>
      <w:r>
        <w:rPr>
          <w:rFonts w:hint="eastAsia" w:ascii="Times New Roman" w:hAnsi="Times New Roman" w:cs="Times New Roman"/>
          <w:b/>
          <w:szCs w:val="32"/>
        </w:rPr>
        <w:t>1</w:t>
      </w:r>
      <w:r>
        <w:rPr>
          <w:rFonts w:ascii="Times New Roman" w:hAnsi="Times New Roman" w:cs="Times New Roman"/>
          <w:b/>
          <w:szCs w:val="32"/>
        </w:rPr>
        <w:t>月</w:t>
      </w:r>
      <w:r>
        <w:rPr>
          <w:rFonts w:hint="eastAsia" w:ascii="Times New Roman" w:hAnsi="Times New Roman" w:cs="Times New Roman"/>
          <w:b/>
          <w:szCs w:val="32"/>
        </w:rPr>
        <w:t>下旬</w:t>
      </w:r>
      <w:r>
        <w:rPr>
          <w:rFonts w:ascii="Times New Roman" w:hAnsi="Times New Roman" w:cs="Times New Roman"/>
          <w:b/>
          <w:szCs w:val="32"/>
        </w:rPr>
        <w:t>）</w:t>
      </w:r>
    </w:p>
    <w:p>
      <w:pPr>
        <w:spacing w:line="594" w:lineRule="exact"/>
        <w:ind w:firstLine="640"/>
        <w:rPr>
          <w:rFonts w:ascii="Times New Roman" w:hAnsi="Times New Roman" w:cs="Times New Roman"/>
          <w:szCs w:val="32"/>
        </w:rPr>
      </w:pPr>
      <w:r>
        <w:rPr>
          <w:rFonts w:ascii="Times New Roman" w:hAnsi="Times New Roman" w:cs="Times New Roman"/>
          <w:szCs w:val="32"/>
        </w:rPr>
        <w:t>举行颁奖活动</w:t>
      </w:r>
      <w:r>
        <w:rPr>
          <w:rFonts w:hint="eastAsia" w:ascii="Times New Roman" w:hAnsi="Times New Roman" w:cs="Times New Roman"/>
          <w:szCs w:val="32"/>
        </w:rPr>
        <w:t>，</w:t>
      </w:r>
      <w:r>
        <w:rPr>
          <w:rFonts w:ascii="Times New Roman" w:hAnsi="Times New Roman" w:cs="Times New Roman"/>
          <w:szCs w:val="32"/>
        </w:rPr>
        <w:t>展示获奖项目风采、总结大赛亮点。</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（五）奖项设置</w:t>
      </w:r>
    </w:p>
    <w:p>
      <w:pPr>
        <w:spacing w:line="594" w:lineRule="exact"/>
        <w:ind w:firstLine="640"/>
        <w:rPr>
          <w:rFonts w:ascii="Times New Roman" w:hAnsi="Times New Roman" w:cs="Times New Roman"/>
          <w:szCs w:val="32"/>
        </w:rPr>
      </w:pPr>
      <w:r>
        <w:rPr>
          <w:rFonts w:ascii="Times New Roman" w:hAnsi="Times New Roman" w:cs="Times New Roman"/>
          <w:szCs w:val="32"/>
        </w:rPr>
        <w:t>本次大赛设置一等奖1名、二等奖2名、三等奖6名、优秀奖</w:t>
      </w:r>
      <w:r>
        <w:rPr>
          <w:rFonts w:hint="eastAsia" w:ascii="Times New Roman" w:hAnsi="Times New Roman" w:cs="Times New Roman"/>
          <w:szCs w:val="32"/>
        </w:rPr>
        <w:t>11</w:t>
      </w:r>
      <w:r>
        <w:rPr>
          <w:rFonts w:ascii="Times New Roman" w:hAnsi="Times New Roman" w:cs="Times New Roman"/>
          <w:szCs w:val="32"/>
        </w:rPr>
        <w:t>名和最佳人气奖1名。</w:t>
      </w:r>
    </w:p>
    <w:p>
      <w:pPr>
        <w:spacing w:line="594" w:lineRule="exact"/>
        <w:ind w:firstLine="640"/>
        <w:rPr>
          <w:rFonts w:ascii="Times New Roman" w:hAnsi="Times New Roman"/>
          <w:szCs w:val="32"/>
        </w:rPr>
      </w:pPr>
      <w:r>
        <w:rPr>
          <w:rFonts w:ascii="Times New Roman" w:hAnsi="Times New Roman"/>
          <w:szCs w:val="32"/>
        </w:rPr>
        <w:t>获奖项目</w:t>
      </w:r>
      <w:r>
        <w:rPr>
          <w:rFonts w:hint="eastAsia" w:ascii="Times New Roman" w:hAnsi="Times New Roman"/>
          <w:szCs w:val="32"/>
        </w:rPr>
        <w:t>将获得</w:t>
      </w:r>
      <w:r>
        <w:rPr>
          <w:rFonts w:ascii="Times New Roman" w:hAnsi="Times New Roman"/>
          <w:szCs w:val="32"/>
        </w:rPr>
        <w:t>组委会奖金奖励，并有机会</w:t>
      </w:r>
      <w:r>
        <w:rPr>
          <w:rFonts w:hint="eastAsia" w:ascii="Times New Roman" w:hAnsi="Times New Roman"/>
          <w:szCs w:val="32"/>
        </w:rPr>
        <w:t>获得相关部门</w:t>
      </w:r>
      <w:r>
        <w:rPr>
          <w:rFonts w:ascii="Times New Roman" w:hAnsi="Times New Roman"/>
          <w:szCs w:val="32"/>
        </w:rPr>
        <w:t>知识产权质押融资</w:t>
      </w:r>
      <w:r>
        <w:rPr>
          <w:rFonts w:hint="eastAsia" w:ascii="Times New Roman" w:hAnsi="Times New Roman"/>
          <w:szCs w:val="32"/>
        </w:rPr>
        <w:t>方面</w:t>
      </w:r>
      <w:r>
        <w:rPr>
          <w:rFonts w:ascii="Times New Roman" w:hAnsi="Times New Roman"/>
          <w:szCs w:val="32"/>
        </w:rPr>
        <w:t>支持</w:t>
      </w:r>
      <w:r>
        <w:rPr>
          <w:rFonts w:hint="eastAsia" w:ascii="Times New Roman" w:hAnsi="Times New Roman"/>
          <w:szCs w:val="32"/>
        </w:rPr>
        <w:t>和</w:t>
      </w:r>
      <w:r>
        <w:rPr>
          <w:rFonts w:ascii="Times New Roman" w:hAnsi="Times New Roman"/>
          <w:szCs w:val="32"/>
        </w:rPr>
        <w:t>便利化服务。</w:t>
      </w:r>
    </w:p>
    <w:p>
      <w:pPr>
        <w:spacing w:line="594" w:lineRule="exact"/>
        <w:ind w:firstLine="640"/>
        <w:rPr>
          <w:rFonts w:ascii="Times New Roman" w:hAnsi="Times New Roman" w:eastAsia="方正黑体_GBK" w:cs="Times New Roman"/>
          <w:szCs w:val="32"/>
        </w:rPr>
      </w:pPr>
      <w:r>
        <w:rPr>
          <w:rFonts w:hint="eastAsia" w:ascii="Times New Roman" w:hAnsi="Times New Roman" w:eastAsia="方正黑体_GBK" w:cs="Times New Roman"/>
          <w:szCs w:val="32"/>
        </w:rPr>
        <w:t>四、活动特色</w:t>
      </w:r>
    </w:p>
    <w:p>
      <w:pPr>
        <w:spacing w:line="594" w:lineRule="exact"/>
        <w:ind w:firstLine="640"/>
        <w:rPr>
          <w:rFonts w:ascii="Times New Roman" w:hAnsi="Times New Roman" w:eastAsia="方正楷体_GBK" w:cs="Times New Roman"/>
          <w:szCs w:val="32"/>
        </w:rPr>
      </w:pPr>
      <w:r>
        <w:rPr>
          <w:rFonts w:hint="eastAsia" w:ascii="Times New Roman" w:hAnsi="Times New Roman" w:eastAsia="方正楷体_GBK" w:cs="Times New Roman"/>
          <w:szCs w:val="32"/>
        </w:rPr>
        <w:t>（一）以高价值专利培育、高质量成果转化为主题</w:t>
      </w:r>
    </w:p>
    <w:p>
      <w:pPr>
        <w:spacing w:line="594" w:lineRule="exact"/>
        <w:ind w:firstLine="640"/>
        <w:rPr>
          <w:rFonts w:ascii="Times New Roman" w:hAnsi="Times New Roman" w:cs="Times New Roman"/>
          <w:szCs w:val="32"/>
        </w:rPr>
      </w:pPr>
      <w:r>
        <w:rPr>
          <w:rFonts w:ascii="Times New Roman" w:hAnsi="Times New Roman" w:cs="Times New Roman"/>
          <w:szCs w:val="32"/>
        </w:rPr>
        <w:t>双高赛</w:t>
      </w:r>
      <w:r>
        <w:rPr>
          <w:rFonts w:hint="eastAsia" w:ascii="Times New Roman" w:hAnsi="Times New Roman" w:cs="Times New Roman"/>
          <w:szCs w:val="32"/>
        </w:rPr>
        <w:t>将</w:t>
      </w:r>
      <w:r>
        <w:rPr>
          <w:rFonts w:ascii="Times New Roman" w:hAnsi="Times New Roman" w:cs="Times New Roman"/>
          <w:szCs w:val="32"/>
        </w:rPr>
        <w:t>知识产权特色贯穿比赛全过程：以倡导价值导向的知识产权理念，推广高价值专利培育方法和经验，提升创新主体知识产权运营能力为宗旨</w:t>
      </w:r>
      <w:r>
        <w:rPr>
          <w:rFonts w:hint="eastAsia" w:ascii="Times New Roman" w:hAnsi="Times New Roman" w:cs="Times New Roman"/>
          <w:szCs w:val="32"/>
        </w:rPr>
        <w:t>，</w:t>
      </w:r>
      <w:r>
        <w:rPr>
          <w:rFonts w:ascii="Times New Roman" w:hAnsi="Times New Roman" w:cs="Times New Roman"/>
          <w:szCs w:val="32"/>
        </w:rPr>
        <w:t>以知识产权培育质量作为项目评价、推荐的重要内容，同时综合考察项目的技术先进性、市场竞争力。期间将举办高价值专利培育沙龙，深入宣传高价值专利培育的理念和方法，宣传高价值专利培育成果，同时扩大赛事影响力。</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（二）借助专利数据挖掘分析，提高项目筛选质量</w:t>
      </w:r>
    </w:p>
    <w:p>
      <w:pPr>
        <w:spacing w:line="594" w:lineRule="exact"/>
        <w:ind w:firstLine="640"/>
        <w:rPr>
          <w:rFonts w:ascii="Times New Roman" w:hAnsi="Times New Roman" w:cs="Times New Roman"/>
          <w:szCs w:val="32"/>
        </w:rPr>
      </w:pPr>
      <w:r>
        <w:rPr>
          <w:rFonts w:ascii="Times New Roman" w:hAnsi="Times New Roman" w:cs="Times New Roman"/>
          <w:szCs w:val="32"/>
        </w:rPr>
        <w:t>双高赛以高价值专利作为参赛门槛，通过区域知识产权大数据驾驶舱系统、高价值专利智能筛选系统对项目展开初步评测，选取市场前景广、创新度高、稳定性强的项目进行层层角逐。</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w:t>
      </w:r>
      <w:r>
        <w:rPr>
          <w:rFonts w:hint="eastAsia" w:ascii="Times New Roman" w:hAnsi="Times New Roman" w:eastAsia="方正楷体_GBK" w:cs="Times New Roman"/>
          <w:szCs w:val="32"/>
        </w:rPr>
        <w:t>三</w:t>
      </w:r>
      <w:r>
        <w:rPr>
          <w:rFonts w:ascii="Times New Roman" w:hAnsi="Times New Roman" w:eastAsia="方正楷体_GBK" w:cs="Times New Roman"/>
          <w:szCs w:val="32"/>
        </w:rPr>
        <w:t>）将分析评议、专利导航纳入比赛环节</w:t>
      </w:r>
    </w:p>
    <w:p>
      <w:pPr>
        <w:spacing w:line="594" w:lineRule="exact"/>
        <w:ind w:firstLine="640"/>
        <w:rPr>
          <w:rFonts w:ascii="Times New Roman" w:hAnsi="Times New Roman" w:cs="Times New Roman"/>
          <w:szCs w:val="32"/>
        </w:rPr>
      </w:pPr>
      <w:r>
        <w:rPr>
          <w:rFonts w:ascii="Times New Roman" w:hAnsi="Times New Roman" w:cs="Times New Roman"/>
          <w:szCs w:val="32"/>
        </w:rPr>
        <w:t>在初审环节引入专利分析评议，决赛环节引入专利导航分析，让评委和观众从知识产权的视角更加全面的了解参赛项目。过程中还为团队提供免费的竞争对手分析服务，帮助其了解当前竞争状况。通过专利分析评议，强化保护力度、提升专利布局质量，</w:t>
      </w:r>
      <w:r>
        <w:rPr>
          <w:rFonts w:hint="eastAsia" w:ascii="Times New Roman" w:hAnsi="Times New Roman" w:cs="Times New Roman"/>
          <w:szCs w:val="32"/>
        </w:rPr>
        <w:t>发现</w:t>
      </w:r>
      <w:r>
        <w:rPr>
          <w:rFonts w:ascii="Times New Roman" w:hAnsi="Times New Roman" w:cs="Times New Roman"/>
          <w:szCs w:val="32"/>
        </w:rPr>
        <w:t>专利布局漏洞；通过专利导航分析，找准研发路径，制定</w:t>
      </w:r>
      <w:r>
        <w:rPr>
          <w:rFonts w:hint="eastAsia" w:ascii="Times New Roman" w:hAnsi="Times New Roman" w:cs="Times New Roman"/>
          <w:szCs w:val="32"/>
        </w:rPr>
        <w:t>“</w:t>
      </w:r>
      <w:r>
        <w:rPr>
          <w:rFonts w:ascii="Times New Roman" w:hAnsi="Times New Roman" w:cs="Times New Roman"/>
          <w:szCs w:val="32"/>
        </w:rPr>
        <w:t>技术规避，合作引进，技术储备，自主研发</w:t>
      </w:r>
      <w:r>
        <w:rPr>
          <w:rFonts w:hint="eastAsia" w:ascii="Times New Roman" w:hAnsi="Times New Roman" w:cs="Times New Roman"/>
          <w:szCs w:val="32"/>
        </w:rPr>
        <w:t>”</w:t>
      </w:r>
      <w:r>
        <w:rPr>
          <w:rFonts w:ascii="Times New Roman" w:hAnsi="Times New Roman" w:cs="Times New Roman"/>
          <w:szCs w:val="32"/>
        </w:rPr>
        <w:t>战略；通过竞争对手分析，优化自身发展路线，锁定竞争对手，</w:t>
      </w:r>
      <w:r>
        <w:rPr>
          <w:rFonts w:hint="eastAsia" w:ascii="Times New Roman" w:hAnsi="Times New Roman" w:cs="Times New Roman"/>
          <w:szCs w:val="32"/>
        </w:rPr>
        <w:t>发掘</w:t>
      </w:r>
      <w:r>
        <w:rPr>
          <w:rFonts w:ascii="Times New Roman" w:hAnsi="Times New Roman" w:cs="Times New Roman"/>
          <w:szCs w:val="32"/>
        </w:rPr>
        <w:t>竞争对手专利布局</w:t>
      </w:r>
      <w:r>
        <w:rPr>
          <w:rFonts w:hint="eastAsia" w:ascii="Times New Roman" w:hAnsi="Times New Roman" w:cs="Times New Roman"/>
          <w:szCs w:val="32"/>
        </w:rPr>
        <w:t>策略</w:t>
      </w:r>
      <w:r>
        <w:rPr>
          <w:rFonts w:ascii="Times New Roman" w:hAnsi="Times New Roman" w:cs="Times New Roman"/>
          <w:szCs w:val="32"/>
        </w:rPr>
        <w:t>。</w:t>
      </w:r>
    </w:p>
    <w:p>
      <w:pPr>
        <w:spacing w:line="594" w:lineRule="exact"/>
        <w:ind w:firstLine="640"/>
        <w:rPr>
          <w:rFonts w:ascii="Times New Roman" w:hAnsi="Times New Roman" w:eastAsia="方正楷体_GBK" w:cs="Times New Roman"/>
          <w:szCs w:val="32"/>
        </w:rPr>
      </w:pPr>
      <w:r>
        <w:rPr>
          <w:rFonts w:ascii="Times New Roman" w:hAnsi="Times New Roman" w:eastAsia="方正楷体_GBK" w:cs="Times New Roman"/>
          <w:szCs w:val="32"/>
        </w:rPr>
        <w:t>（</w:t>
      </w:r>
      <w:r>
        <w:rPr>
          <w:rFonts w:hint="eastAsia" w:ascii="Times New Roman" w:hAnsi="Times New Roman" w:eastAsia="方正楷体_GBK" w:cs="Times New Roman"/>
          <w:szCs w:val="32"/>
        </w:rPr>
        <w:t>四</w:t>
      </w:r>
      <w:r>
        <w:rPr>
          <w:rFonts w:ascii="Times New Roman" w:hAnsi="Times New Roman" w:eastAsia="方正楷体_GBK" w:cs="Times New Roman"/>
          <w:szCs w:val="32"/>
        </w:rPr>
        <w:t>）打造两大成果运用平台</w:t>
      </w:r>
    </w:p>
    <w:p>
      <w:pPr>
        <w:spacing w:line="594" w:lineRule="exact"/>
        <w:ind w:firstLine="640"/>
        <w:rPr>
          <w:rFonts w:ascii="Times New Roman" w:hAnsi="Times New Roman" w:cs="Times New Roman"/>
          <w:szCs w:val="32"/>
        </w:rPr>
      </w:pPr>
      <w:r>
        <w:rPr>
          <w:rFonts w:ascii="Times New Roman" w:hAnsi="Times New Roman" w:cs="Times New Roman"/>
          <w:szCs w:val="32"/>
        </w:rPr>
        <w:t>通过双高赛打造两大运用平台—全球产业技术成果优选超市和双高赛运营服务中心。优选超市将助力市场前景广、创新度高、稳定性强的创新项目</w:t>
      </w:r>
      <w:r>
        <w:rPr>
          <w:rFonts w:hint="eastAsia" w:ascii="Times New Roman" w:hAnsi="Times New Roman" w:cs="Times New Roman"/>
          <w:szCs w:val="32"/>
        </w:rPr>
        <w:t>实现</w:t>
      </w:r>
      <w:r>
        <w:rPr>
          <w:rFonts w:ascii="Times New Roman" w:hAnsi="Times New Roman" w:cs="Times New Roman"/>
          <w:szCs w:val="32"/>
        </w:rPr>
        <w:t>成果转化</w:t>
      </w:r>
      <w:r>
        <w:rPr>
          <w:rFonts w:hint="eastAsia" w:ascii="Times New Roman" w:hAnsi="Times New Roman" w:cs="Times New Roman"/>
          <w:szCs w:val="32"/>
        </w:rPr>
        <w:t>，</w:t>
      </w:r>
      <w:r>
        <w:rPr>
          <w:rFonts w:ascii="Times New Roman" w:hAnsi="Times New Roman" w:cs="Times New Roman"/>
          <w:szCs w:val="32"/>
        </w:rPr>
        <w:t>双高赛运营服务中心将推动形成高价值专利培育运营的良好生态，助推高质量成果转化落地，为</w:t>
      </w:r>
      <w:r>
        <w:rPr>
          <w:rFonts w:hint="eastAsia" w:ascii="Times New Roman" w:hAnsi="Times New Roman" w:cs="Times New Roman"/>
          <w:szCs w:val="32"/>
        </w:rPr>
        <w:t>成渝地区</w:t>
      </w:r>
      <w:r>
        <w:rPr>
          <w:rFonts w:ascii="Times New Roman" w:hAnsi="Times New Roman" w:cs="Times New Roman"/>
          <w:szCs w:val="32"/>
        </w:rPr>
        <w:t>双城经济圈西部科学城建设和高质量发展提供支撑。</w:t>
      </w:r>
    </w:p>
    <w:p>
      <w:pPr>
        <w:spacing w:line="594" w:lineRule="exact"/>
        <w:ind w:firstLine="640"/>
        <w:rPr>
          <w:rFonts w:ascii="Times New Roman" w:hAnsi="Times New Roman" w:cs="Times New Roman"/>
          <w:szCs w:val="32"/>
        </w:rPr>
      </w:pPr>
    </w:p>
    <w:p>
      <w:pPr>
        <w:spacing w:line="594" w:lineRule="exact"/>
        <w:ind w:firstLine="640"/>
        <w:jc w:val="left"/>
        <w:rPr>
          <w:rFonts w:ascii="方正仿宋_GBK" w:hAnsi="楷体"/>
          <w:szCs w:val="32"/>
        </w:rPr>
      </w:pPr>
      <w:r>
        <w:rPr>
          <w:rFonts w:hint="eastAsia" w:ascii="方正仿宋_GBK" w:hAnsi="楷体"/>
          <w:szCs w:val="32"/>
        </w:rPr>
        <w:t>（双高赛组委会联系人及</w:t>
      </w:r>
      <w:r>
        <w:rPr>
          <w:rFonts w:ascii="方正仿宋_GBK" w:hAnsi="楷体"/>
          <w:szCs w:val="32"/>
        </w:rPr>
        <w:t>电话</w:t>
      </w:r>
      <w:r>
        <w:rPr>
          <w:rFonts w:hint="eastAsia" w:ascii="方正仿宋_GBK" w:hAnsi="楷体"/>
          <w:szCs w:val="32"/>
        </w:rPr>
        <w:t>：王雪春，19923566768）</w:t>
      </w:r>
    </w:p>
    <w:p>
      <w:pPr>
        <w:spacing w:line="594" w:lineRule="exact"/>
        <w:ind w:left="1600" w:leftChars="200" w:hanging="960" w:hangingChars="300"/>
        <w:jc w:val="left"/>
        <w:rPr>
          <w:rFonts w:ascii="方正仿宋_GBK" w:hAnsi="Times New Roman"/>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firstLine="5510" w:firstLineChars="1722"/>
        <w:rPr>
          <w:rFonts w:ascii="Times New Roman" w:hAnsi="宋体" w:cs="宋体"/>
          <w:kern w:val="0"/>
          <w:szCs w:val="32"/>
        </w:rPr>
      </w:pPr>
    </w:p>
    <w:p>
      <w:pPr>
        <w:adjustRightInd w:val="0"/>
        <w:snapToGrid w:val="0"/>
        <w:ind w:left="0" w:leftChars="0" w:firstLine="0" w:firstLineChars="0"/>
        <w:rPr>
          <w:rFonts w:ascii="Times New Roman" w:hAnsi="宋体" w:cs="宋体"/>
          <w:kern w:val="0"/>
          <w:szCs w:val="32"/>
        </w:rPr>
      </w:pPr>
      <w:bookmarkStart w:id="0" w:name="_GoBack"/>
      <w:bookmarkEnd w:id="0"/>
    </w:p>
    <w:sectPr>
      <w:headerReference r:id="rId5" w:type="default"/>
      <w:footerReference r:id="rId7" w:type="default"/>
      <w:headerReference r:id="rId6" w:type="even"/>
      <w:footerReference r:id="rId8" w:type="even"/>
      <w:pgSz w:w="11906" w:h="16838"/>
      <w:pgMar w:top="2098" w:right="1531" w:bottom="1985" w:left="1531" w:header="851" w:footer="1417" w:gutter="0"/>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script"/>
    <w:pitch w:val="default"/>
    <w:sig w:usb0="00000001" w:usb1="08000000" w:usb2="00000000" w:usb3="00000000" w:csb0="00040000" w:csb1="00000000"/>
  </w:font>
  <w:font w:name="等线">
    <w:altName w:val="宋体"/>
    <w:panose1 w:val="02010600030101010101"/>
    <w:charset w:val="86"/>
    <w:family w:val="auto"/>
    <w:pitch w:val="default"/>
    <w:sig w:usb0="00000000" w:usb1="00000000" w:usb2="00000016" w:usb3="00000000" w:csb0="0004000F" w:csb1="00000000"/>
  </w:font>
  <w:font w:name="方正楷体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ordWrap w:val="0"/>
      <w:ind w:firstLine="310" w:firstLineChars="111"/>
      <w:jc w:val="right"/>
    </w:pPr>
    <w:r>
      <w:rPr>
        <w:rStyle w:val="12"/>
        <w:rFonts w:hint="eastAsia" w:ascii="方正仿宋_GBK"/>
        <w:sz w:val="28"/>
      </w:rPr>
      <w:t>―</w:t>
    </w:r>
    <w:r>
      <w:rPr>
        <w:rFonts w:hint="eastAsia" w:ascii="方正仿宋_GBK"/>
        <w:kern w:val="0"/>
        <w:sz w:val="28"/>
      </w:rPr>
      <w:t xml:space="preserve"> </w:t>
    </w:r>
    <w:r>
      <w:rPr>
        <w:rFonts w:hint="eastAsia" w:ascii="方正仿宋_GBK"/>
        <w:kern w:val="0"/>
        <w:sz w:val="28"/>
      </w:rPr>
      <w:fldChar w:fldCharType="begin"/>
    </w:r>
    <w:r>
      <w:rPr>
        <w:rFonts w:hint="eastAsia" w:ascii="方正仿宋_GBK"/>
        <w:kern w:val="0"/>
        <w:sz w:val="28"/>
      </w:rPr>
      <w:instrText xml:space="preserve"> PAGE </w:instrText>
    </w:r>
    <w:r>
      <w:rPr>
        <w:rFonts w:hint="eastAsia" w:ascii="方正仿宋_GBK"/>
        <w:kern w:val="0"/>
        <w:sz w:val="28"/>
      </w:rPr>
      <w:fldChar w:fldCharType="separate"/>
    </w:r>
    <w:r>
      <w:rPr>
        <w:rFonts w:ascii="方正仿宋_GBK"/>
        <w:kern w:val="0"/>
        <w:sz w:val="28"/>
      </w:rPr>
      <w:t>9</w:t>
    </w:r>
    <w:r>
      <w:rPr>
        <w:rFonts w:hint="eastAsia" w:ascii="方正仿宋_GBK"/>
        <w:kern w:val="0"/>
        <w:sz w:val="28"/>
      </w:rPr>
      <w:fldChar w:fldCharType="end"/>
    </w:r>
    <w:r>
      <w:rPr>
        <w:rFonts w:hint="eastAsia" w:ascii="方正仿宋_GBK"/>
        <w:kern w:val="0"/>
        <w:sz w:val="28"/>
      </w:rPr>
      <w:t xml:space="preserve"> </w:t>
    </w:r>
    <w:r>
      <w:rPr>
        <w:rStyle w:val="12"/>
        <w:rFonts w:hint="eastAsia" w:ascii="方正仿宋_GBK"/>
        <w:sz w:val="28"/>
      </w:rPr>
      <w:t xml:space="preserve">― </w:t>
    </w:r>
    <w:r>
      <w:rPr>
        <w:rStyle w:val="12"/>
        <w:rFonts w:ascii="方正仿宋_GBK"/>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198" w:firstLineChars="71"/>
    </w:pPr>
    <w:r>
      <w:rPr>
        <w:rStyle w:val="12"/>
        <w:rFonts w:hint="eastAsia" w:ascii="方正仿宋_GBK"/>
        <w:sz w:val="28"/>
      </w:rPr>
      <w:t>―</w:t>
    </w:r>
    <w:r>
      <w:rPr>
        <w:rFonts w:hint="eastAsia" w:ascii="方正仿宋_GBK"/>
        <w:kern w:val="0"/>
        <w:sz w:val="28"/>
      </w:rPr>
      <w:t xml:space="preserve"> </w:t>
    </w:r>
    <w:r>
      <w:rPr>
        <w:rFonts w:hint="eastAsia" w:ascii="方正仿宋_GBK"/>
        <w:kern w:val="0"/>
        <w:sz w:val="28"/>
      </w:rPr>
      <w:fldChar w:fldCharType="begin"/>
    </w:r>
    <w:r>
      <w:rPr>
        <w:rFonts w:hint="eastAsia" w:ascii="方正仿宋_GBK"/>
        <w:kern w:val="0"/>
        <w:sz w:val="28"/>
      </w:rPr>
      <w:instrText xml:space="preserve"> PAGE </w:instrText>
    </w:r>
    <w:r>
      <w:rPr>
        <w:rFonts w:hint="eastAsia" w:ascii="方正仿宋_GBK"/>
        <w:kern w:val="0"/>
        <w:sz w:val="28"/>
      </w:rPr>
      <w:fldChar w:fldCharType="separate"/>
    </w:r>
    <w:r>
      <w:rPr>
        <w:rFonts w:ascii="方正仿宋_GBK"/>
        <w:kern w:val="0"/>
        <w:sz w:val="28"/>
      </w:rPr>
      <w:t>8</w:t>
    </w:r>
    <w:r>
      <w:rPr>
        <w:rFonts w:hint="eastAsia" w:ascii="方正仿宋_GBK"/>
        <w:kern w:val="0"/>
        <w:sz w:val="28"/>
      </w:rPr>
      <w:fldChar w:fldCharType="end"/>
    </w:r>
    <w:r>
      <w:rPr>
        <w:rFonts w:hint="eastAsia" w:ascii="方正仿宋_GBK"/>
        <w:kern w:val="0"/>
        <w:sz w:val="28"/>
      </w:rPr>
      <w:t xml:space="preserve"> </w:t>
    </w:r>
    <w:r>
      <w:rPr>
        <w:rStyle w:val="12"/>
        <w:rFonts w:hint="eastAsia" w:ascii="方正仿宋_GBK"/>
        <w:sz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true"/>
  <w:bordersDoNotSurroundFooter w:val="true"/>
  <w:documentProtection w:enforcement="0"/>
  <w:defaultTabStop w:val="420"/>
  <w:evenAndOddHeaders w:val="true"/>
  <w:drawingGridHorizontalSpacing w:val="160"/>
  <w:drawingGridVerticalSpacing w:val="435"/>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s://113.207.111.33:8023/seeyon/officeservlet"/>
  </w:docVars>
  <w:rsids>
    <w:rsidRoot w:val="006D52A7"/>
    <w:rsid w:val="000A075B"/>
    <w:rsid w:val="000B13D6"/>
    <w:rsid w:val="000B731E"/>
    <w:rsid w:val="000C6F44"/>
    <w:rsid w:val="001178D3"/>
    <w:rsid w:val="00153997"/>
    <w:rsid w:val="00171630"/>
    <w:rsid w:val="00180405"/>
    <w:rsid w:val="001A42E2"/>
    <w:rsid w:val="001B3038"/>
    <w:rsid w:val="001D05C6"/>
    <w:rsid w:val="001E2F62"/>
    <w:rsid w:val="00213434"/>
    <w:rsid w:val="00254DC6"/>
    <w:rsid w:val="00281D61"/>
    <w:rsid w:val="002971A8"/>
    <w:rsid w:val="00334052"/>
    <w:rsid w:val="00386A51"/>
    <w:rsid w:val="003924EF"/>
    <w:rsid w:val="003A7E26"/>
    <w:rsid w:val="003E5252"/>
    <w:rsid w:val="003F5E62"/>
    <w:rsid w:val="004302B0"/>
    <w:rsid w:val="004375ED"/>
    <w:rsid w:val="004B0350"/>
    <w:rsid w:val="004B5309"/>
    <w:rsid w:val="004C63DE"/>
    <w:rsid w:val="004F02DB"/>
    <w:rsid w:val="00505DDE"/>
    <w:rsid w:val="005548CC"/>
    <w:rsid w:val="00572202"/>
    <w:rsid w:val="00582509"/>
    <w:rsid w:val="005B0E94"/>
    <w:rsid w:val="005B10DA"/>
    <w:rsid w:val="005C6C48"/>
    <w:rsid w:val="005F6C62"/>
    <w:rsid w:val="00661BF4"/>
    <w:rsid w:val="00697DC3"/>
    <w:rsid w:val="006A2CDC"/>
    <w:rsid w:val="006D52A7"/>
    <w:rsid w:val="006F725A"/>
    <w:rsid w:val="00712C71"/>
    <w:rsid w:val="00717238"/>
    <w:rsid w:val="00753098"/>
    <w:rsid w:val="00755BCD"/>
    <w:rsid w:val="007907B5"/>
    <w:rsid w:val="00795369"/>
    <w:rsid w:val="007A6167"/>
    <w:rsid w:val="00870681"/>
    <w:rsid w:val="00875BA3"/>
    <w:rsid w:val="008908E6"/>
    <w:rsid w:val="00897349"/>
    <w:rsid w:val="009369DA"/>
    <w:rsid w:val="009832E0"/>
    <w:rsid w:val="009E226F"/>
    <w:rsid w:val="00A57576"/>
    <w:rsid w:val="00AE6B3F"/>
    <w:rsid w:val="00B86887"/>
    <w:rsid w:val="00BC38B9"/>
    <w:rsid w:val="00C4735E"/>
    <w:rsid w:val="00C811DD"/>
    <w:rsid w:val="00CF2863"/>
    <w:rsid w:val="00D528E2"/>
    <w:rsid w:val="00DA340F"/>
    <w:rsid w:val="00DF0597"/>
    <w:rsid w:val="00E0388F"/>
    <w:rsid w:val="00E04323"/>
    <w:rsid w:val="00E07D84"/>
    <w:rsid w:val="00E4241F"/>
    <w:rsid w:val="00E43FEA"/>
    <w:rsid w:val="00E56A25"/>
    <w:rsid w:val="00E967F8"/>
    <w:rsid w:val="00EC2AF9"/>
    <w:rsid w:val="00EC4956"/>
    <w:rsid w:val="00EC7FD3"/>
    <w:rsid w:val="00F458BE"/>
    <w:rsid w:val="00F56C2D"/>
    <w:rsid w:val="00F842D3"/>
    <w:rsid w:val="00FA4D03"/>
    <w:rsid w:val="00FB44C0"/>
    <w:rsid w:val="00FB54D5"/>
    <w:rsid w:val="19881EDD"/>
    <w:rsid w:val="1AB9214C"/>
    <w:rsid w:val="22D3552B"/>
    <w:rsid w:val="25697185"/>
    <w:rsid w:val="28AE7D86"/>
    <w:rsid w:val="4614482F"/>
    <w:rsid w:val="4AC27E73"/>
    <w:rsid w:val="5D0B3ED5"/>
    <w:rsid w:val="71600CA8"/>
    <w:rsid w:val="76BD61BD"/>
    <w:rsid w:val="7E6F34B0"/>
    <w:rsid w:val="DFF50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方正仿宋_GBK" w:asciiTheme="minorHAnsi" w:hAnsiTheme="minorHAnsi" w:cstheme="minorBidi"/>
      <w:kern w:val="2"/>
      <w:sz w:val="32"/>
      <w:szCs w:val="22"/>
      <w:lang w:val="en-US" w:eastAsia="zh-CN" w:bidi="ar-SA"/>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0"/>
    <w:semiHidden/>
    <w:unhideWhenUsed/>
    <w:uiPriority w:val="99"/>
    <w:pPr>
      <w:jc w:val="left"/>
    </w:pPr>
  </w:style>
  <w:style w:type="paragraph" w:styleId="3">
    <w:name w:val="Date"/>
    <w:basedOn w:val="1"/>
    <w:next w:val="1"/>
    <w:link w:val="16"/>
    <w:semiHidden/>
    <w:unhideWhenUsed/>
    <w:qFormat/>
    <w:uiPriority w:val="99"/>
    <w:pPr>
      <w:ind w:left="100" w:leftChars="2500"/>
    </w:pPr>
  </w:style>
  <w:style w:type="paragraph" w:styleId="4">
    <w:name w:val="Balloon Text"/>
    <w:basedOn w:val="1"/>
    <w:link w:val="14"/>
    <w:semiHidden/>
    <w:unhideWhenUsed/>
    <w:qFormat/>
    <w:uiPriority w:val="99"/>
    <w:rPr>
      <w:sz w:val="18"/>
      <w:szCs w:val="18"/>
    </w:rPr>
  </w:style>
  <w:style w:type="paragraph" w:styleId="5">
    <w:name w:val="footer"/>
    <w:basedOn w:val="1"/>
    <w:link w:val="19"/>
    <w:unhideWhenUsed/>
    <w:qFormat/>
    <w:uiPriority w:val="99"/>
    <w:pPr>
      <w:tabs>
        <w:tab w:val="center" w:pos="4153"/>
        <w:tab w:val="right" w:pos="8306"/>
      </w:tabs>
      <w:snapToGrid w:val="0"/>
      <w:jc w:val="left"/>
    </w:pPr>
    <w:rPr>
      <w:sz w:val="18"/>
      <w:szCs w:val="18"/>
    </w:rPr>
  </w:style>
  <w:style w:type="paragraph" w:styleId="6">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ind w:firstLine="0" w:firstLineChars="0"/>
      <w:jc w:val="left"/>
    </w:pPr>
    <w:rPr>
      <w:rFonts w:ascii="宋体" w:hAnsi="宋体" w:eastAsia="宋体" w:cs="宋体"/>
      <w:kern w:val="0"/>
      <w:sz w:val="24"/>
      <w:szCs w:val="24"/>
    </w:rPr>
  </w:style>
  <w:style w:type="paragraph" w:styleId="8">
    <w:name w:val="annotation subject"/>
    <w:basedOn w:val="2"/>
    <w:next w:val="2"/>
    <w:link w:val="21"/>
    <w:semiHidden/>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styleId="13">
    <w:name w:val="annotation reference"/>
    <w:basedOn w:val="11"/>
    <w:semiHidden/>
    <w:unhideWhenUsed/>
    <w:qFormat/>
    <w:uiPriority w:val="99"/>
    <w:rPr>
      <w:sz w:val="21"/>
      <w:szCs w:val="21"/>
    </w:rPr>
  </w:style>
  <w:style w:type="character" w:customStyle="1" w:styleId="14">
    <w:name w:val="批注框文本 字符"/>
    <w:basedOn w:val="11"/>
    <w:link w:val="4"/>
    <w:semiHidden/>
    <w:qFormat/>
    <w:uiPriority w:val="99"/>
    <w:rPr>
      <w:rFonts w:eastAsia="方正仿宋_GBK"/>
      <w:sz w:val="18"/>
      <w:szCs w:val="18"/>
    </w:rPr>
  </w:style>
  <w:style w:type="paragraph" w:styleId="15">
    <w:name w:val="List Paragraph"/>
    <w:basedOn w:val="1"/>
    <w:qFormat/>
    <w:uiPriority w:val="34"/>
    <w:pPr>
      <w:ind w:firstLine="420"/>
    </w:pPr>
  </w:style>
  <w:style w:type="character" w:customStyle="1" w:styleId="16">
    <w:name w:val="日期 字符"/>
    <w:basedOn w:val="11"/>
    <w:link w:val="3"/>
    <w:semiHidden/>
    <w:qFormat/>
    <w:uiPriority w:val="99"/>
    <w:rPr>
      <w:rFonts w:eastAsia="方正仿宋_GBK"/>
      <w:sz w:val="32"/>
    </w:rPr>
  </w:style>
  <w:style w:type="paragraph" w:customStyle="1" w:styleId="17">
    <w:name w:val="列出段落1"/>
    <w:basedOn w:val="1"/>
    <w:qFormat/>
    <w:uiPriority w:val="99"/>
    <w:pPr>
      <w:ind w:firstLine="420"/>
    </w:pPr>
    <w:rPr>
      <w:rFonts w:ascii="等线" w:hAnsi="等线" w:eastAsia="等线" w:cs="Times New Roman"/>
      <w:sz w:val="24"/>
      <w:szCs w:val="24"/>
    </w:rPr>
  </w:style>
  <w:style w:type="character" w:customStyle="1" w:styleId="18">
    <w:name w:val="页眉 字符"/>
    <w:basedOn w:val="11"/>
    <w:link w:val="6"/>
    <w:qFormat/>
    <w:uiPriority w:val="99"/>
    <w:rPr>
      <w:rFonts w:eastAsia="方正仿宋_GBK"/>
      <w:sz w:val="18"/>
      <w:szCs w:val="18"/>
    </w:rPr>
  </w:style>
  <w:style w:type="character" w:customStyle="1" w:styleId="19">
    <w:name w:val="页脚 字符"/>
    <w:basedOn w:val="11"/>
    <w:link w:val="5"/>
    <w:qFormat/>
    <w:uiPriority w:val="99"/>
    <w:rPr>
      <w:rFonts w:eastAsia="方正仿宋_GBK"/>
      <w:sz w:val="18"/>
      <w:szCs w:val="18"/>
    </w:rPr>
  </w:style>
  <w:style w:type="character" w:customStyle="1" w:styleId="20">
    <w:name w:val="批注文字 字符"/>
    <w:basedOn w:val="11"/>
    <w:link w:val="2"/>
    <w:semiHidden/>
    <w:qFormat/>
    <w:uiPriority w:val="99"/>
    <w:rPr>
      <w:rFonts w:eastAsia="方正仿宋_GBK"/>
      <w:kern w:val="2"/>
      <w:sz w:val="32"/>
      <w:szCs w:val="22"/>
    </w:rPr>
  </w:style>
  <w:style w:type="character" w:customStyle="1" w:styleId="21">
    <w:name w:val="批注主题 字符"/>
    <w:basedOn w:val="20"/>
    <w:link w:val="8"/>
    <w:semiHidden/>
    <w:qFormat/>
    <w:uiPriority w:val="99"/>
    <w:rPr>
      <w:rFonts w:eastAsia="方正仿宋_GBK"/>
      <w:b/>
      <w:bCs/>
      <w:kern w:val="2"/>
      <w:sz w:val="3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10</Pages>
  <Words>522</Words>
  <Characters>2980</Characters>
  <Lines>24</Lines>
  <Paragraphs>6</Paragraphs>
  <TotalTime>2</TotalTime>
  <ScaleCrop>false</ScaleCrop>
  <LinksUpToDate>false</LinksUpToDate>
  <CharactersWithSpaces>3496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2021-09-02T15:45:00Z</dcterms:created>
  <dc:creator>谭铧铧</dc:creator>
  <cp:lastModifiedBy>user</cp:lastModifiedBy>
  <dcterms:modified xsi:type="dcterms:W3CDTF">2021-09-02T15:58:04Z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10151346_embed</vt:lpwstr>
  </property>
  <property fmtid="{D5CDD505-2E9C-101B-9397-08002B2CF9AE}" pid="3" name="KSOProductBuildVer">
    <vt:lpwstr>2052-11.8.2.10125</vt:lpwstr>
  </property>
  <property fmtid="{D5CDD505-2E9C-101B-9397-08002B2CF9AE}" pid="4" name="ICV">
    <vt:lpwstr>CA98B803CBA94F539B448BE2802CEF61</vt:lpwstr>
  </property>
</Properties>
</file>