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00" w:lineRule="exact"/>
        <w:ind w:right="840" w:rightChars="400"/>
        <w:jc w:val="left"/>
        <w:rPr>
          <w:rFonts w:ascii="Times New Roman" w:hAnsi="Times New Roman" w:eastAsia="黑体" w:cs="Times New Roman"/>
          <w:sz w:val="32"/>
          <w:szCs w:val="32"/>
        </w:rPr>
      </w:pPr>
      <w:r>
        <w:rPr>
          <w:rFonts w:ascii="Times New Roman" w:hAnsi="Times New Roman" w:eastAsia="黑体" w:cs="Times New Roman"/>
          <w:sz w:val="32"/>
          <w:szCs w:val="32"/>
        </w:rPr>
        <w:t>附件</w:t>
      </w:r>
    </w:p>
    <w:p>
      <w:pPr>
        <w:spacing w:line="560" w:lineRule="exact"/>
        <w:jc w:val="center"/>
        <w:rPr>
          <w:rFonts w:ascii="方正小标宋_GBK" w:hAnsi="方正小标宋_GBK" w:eastAsia="方正小标宋_GBK" w:cs="方正小标宋_GBK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2020年度开展评估的省级工程技术研究</w:t>
      </w:r>
    </w:p>
    <w:p>
      <w:pPr>
        <w:spacing w:line="560" w:lineRule="exact"/>
        <w:jc w:val="center"/>
        <w:rPr>
          <w:rFonts w:ascii="方正小标宋_GBK" w:hAnsi="方正小标宋_GBK" w:eastAsia="方正小标宋_GBK" w:cs="方正小标宋_GBK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中心名单</w:t>
      </w:r>
    </w:p>
    <w:tbl>
      <w:tblPr>
        <w:tblStyle w:val="5"/>
        <w:tblpPr w:leftFromText="180" w:rightFromText="180" w:vertAnchor="text" w:horzAnchor="page" w:tblpX="902" w:tblpY="752"/>
        <w:tblOverlap w:val="never"/>
        <w:tblW w:w="982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39"/>
        <w:gridCol w:w="3980"/>
        <w:gridCol w:w="3171"/>
        <w:gridCol w:w="163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9825" w:type="dxa"/>
            <w:gridSpan w:val="4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eastAsia="仿宋_GB2312" w:cs="Times New Roman"/>
                <w:b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bookmarkStart w:id="0" w:name="_GoBack"/>
            <w:bookmarkEnd w:id="0"/>
            <w:r>
              <w:rPr>
                <w:rFonts w:ascii="Times New Roman" w:hAnsi="Times New Roman" w:eastAsia="仿宋_GB2312" w:cs="Times New Roman"/>
                <w:b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09年以前认定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039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仿宋_GB2312" w:cs="Times New Roman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b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序号</w:t>
            </w:r>
          </w:p>
        </w:tc>
        <w:tc>
          <w:tcPr>
            <w:tcW w:w="398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仿宋_GB2312" w:cs="Times New Roman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b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工程技术研究中心名称</w:t>
            </w:r>
          </w:p>
        </w:tc>
        <w:tc>
          <w:tcPr>
            <w:tcW w:w="3171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仿宋_GB2312" w:cs="Times New Roman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b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依托单位</w:t>
            </w:r>
          </w:p>
        </w:tc>
        <w:tc>
          <w:tcPr>
            <w:tcW w:w="1635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仿宋_GB2312" w:cs="Times New Roman"/>
                <w:color w:val="000000" w:themeColor="text1"/>
                <w:kern w:val="0"/>
                <w:sz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b/>
                <w:bCs/>
                <w:color w:val="000000" w:themeColor="text1"/>
                <w:kern w:val="0"/>
                <w:sz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辖区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039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仿宋_GB2312" w:cs="Times New Roman"/>
                <w:color w:val="000000" w:themeColor="text1"/>
                <w:kern w:val="0"/>
                <w:sz w:val="24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kern w:val="0"/>
                <w:sz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3980" w:type="dxa"/>
            <w:shd w:val="clear" w:color="auto" w:fill="auto"/>
            <w:vAlign w:val="center"/>
          </w:tcPr>
          <w:p>
            <w:pPr>
              <w:widowControl/>
              <w:rPr>
                <w:rFonts w:ascii="Times New Roman" w:hAnsi="Times New Roman" w:eastAsia="仿宋_GB2312" w:cs="Times New Roman"/>
                <w:color w:val="000000" w:themeColor="text1"/>
                <w:kern w:val="0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kern w:val="0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四川省机床数控工程技术研究中心</w:t>
            </w:r>
          </w:p>
        </w:tc>
        <w:tc>
          <w:tcPr>
            <w:tcW w:w="3171" w:type="dxa"/>
            <w:shd w:val="clear" w:color="auto" w:fill="auto"/>
            <w:vAlign w:val="center"/>
          </w:tcPr>
          <w:p>
            <w:pPr>
              <w:widowControl/>
              <w:rPr>
                <w:rFonts w:ascii="Times New Roman" w:hAnsi="Times New Roman" w:eastAsia="仿宋_GB2312" w:cs="Times New Roman"/>
                <w:color w:val="000000" w:themeColor="text1"/>
                <w:kern w:val="0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kern w:val="0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四川省绵阳西南自动化研究所</w:t>
            </w:r>
          </w:p>
        </w:tc>
        <w:tc>
          <w:tcPr>
            <w:tcW w:w="1635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仿宋_GB2312" w:cs="Times New Roman"/>
                <w:color w:val="000000" w:themeColor="text1"/>
                <w:kern w:val="0"/>
                <w:sz w:val="24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kern w:val="0"/>
                <w:sz w:val="24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游仙区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039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仿宋_GB2312" w:cs="Times New Roman"/>
                <w:color w:val="000000" w:themeColor="text1"/>
                <w:kern w:val="0"/>
                <w:sz w:val="24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kern w:val="0"/>
                <w:sz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3980" w:type="dxa"/>
            <w:shd w:val="clear" w:color="auto" w:fill="auto"/>
            <w:vAlign w:val="center"/>
          </w:tcPr>
          <w:p>
            <w:pPr>
              <w:widowControl/>
              <w:rPr>
                <w:rFonts w:ascii="Times New Roman" w:hAnsi="Times New Roman" w:eastAsia="仿宋_GB2312" w:cs="Times New Roman"/>
                <w:color w:val="000000" w:themeColor="text1"/>
                <w:kern w:val="0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kern w:val="0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四川省风能工程技术研究中心</w:t>
            </w:r>
          </w:p>
        </w:tc>
        <w:tc>
          <w:tcPr>
            <w:tcW w:w="3171" w:type="dxa"/>
            <w:shd w:val="clear" w:color="auto" w:fill="auto"/>
            <w:vAlign w:val="center"/>
          </w:tcPr>
          <w:p>
            <w:pPr>
              <w:widowControl/>
              <w:rPr>
                <w:rFonts w:ascii="Times New Roman" w:hAnsi="Times New Roman" w:eastAsia="仿宋_GB2312" w:cs="Times New Roman"/>
                <w:color w:val="000000" w:themeColor="text1"/>
                <w:kern w:val="0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kern w:val="0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中国空气动力研究与发展中心低速所</w:t>
            </w:r>
          </w:p>
        </w:tc>
        <w:tc>
          <w:tcPr>
            <w:tcW w:w="1635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仿宋_GB2312" w:cs="Times New Roman"/>
                <w:color w:val="000000" w:themeColor="text1"/>
                <w:kern w:val="0"/>
                <w:sz w:val="24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kern w:val="0"/>
                <w:sz w:val="24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涪城区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039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仿宋_GB2312" w:cs="Times New Roman"/>
                <w:color w:val="000000" w:themeColor="text1"/>
                <w:kern w:val="0"/>
                <w:sz w:val="24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kern w:val="0"/>
                <w:sz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3980" w:type="dxa"/>
            <w:shd w:val="clear" w:color="auto" w:fill="auto"/>
            <w:vAlign w:val="center"/>
          </w:tcPr>
          <w:p>
            <w:pPr>
              <w:widowControl/>
              <w:rPr>
                <w:rFonts w:ascii="Times New Roman" w:hAnsi="Times New Roman" w:eastAsia="仿宋_GB2312" w:cs="Times New Roman"/>
                <w:color w:val="000000" w:themeColor="text1"/>
                <w:kern w:val="0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kern w:val="0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四川省生物质资源利用与改性工程技术研究中心</w:t>
            </w:r>
          </w:p>
        </w:tc>
        <w:tc>
          <w:tcPr>
            <w:tcW w:w="3171" w:type="dxa"/>
            <w:shd w:val="clear" w:color="auto" w:fill="auto"/>
            <w:vAlign w:val="center"/>
          </w:tcPr>
          <w:p>
            <w:pPr>
              <w:widowControl/>
              <w:rPr>
                <w:rFonts w:ascii="Times New Roman" w:hAnsi="Times New Roman" w:eastAsia="仿宋_GB2312" w:cs="Times New Roman"/>
                <w:color w:val="000000" w:themeColor="text1"/>
                <w:kern w:val="0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kern w:val="0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西南科技大学</w:t>
            </w:r>
          </w:p>
        </w:tc>
        <w:tc>
          <w:tcPr>
            <w:tcW w:w="1635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仿宋_GB2312" w:cs="Times New Roman"/>
                <w:color w:val="000000" w:themeColor="text1"/>
                <w:kern w:val="0"/>
                <w:sz w:val="24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kern w:val="0"/>
                <w:sz w:val="24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涪城区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039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仿宋_GB2312" w:cs="Times New Roman"/>
                <w:color w:val="000000" w:themeColor="text1"/>
                <w:kern w:val="0"/>
                <w:sz w:val="24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kern w:val="0"/>
                <w:sz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  <w:tc>
          <w:tcPr>
            <w:tcW w:w="3980" w:type="dxa"/>
            <w:shd w:val="clear" w:color="auto" w:fill="auto"/>
            <w:vAlign w:val="center"/>
          </w:tcPr>
          <w:p>
            <w:pPr>
              <w:widowControl/>
              <w:rPr>
                <w:rFonts w:ascii="Times New Roman" w:hAnsi="Times New Roman" w:eastAsia="仿宋_GB2312" w:cs="Times New Roman"/>
                <w:color w:val="000000" w:themeColor="text1"/>
                <w:kern w:val="0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kern w:val="0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四川省磁性材料工程技术研究中心</w:t>
            </w:r>
          </w:p>
        </w:tc>
        <w:tc>
          <w:tcPr>
            <w:tcW w:w="3171" w:type="dxa"/>
            <w:shd w:val="clear" w:color="auto" w:fill="auto"/>
            <w:vAlign w:val="center"/>
          </w:tcPr>
          <w:p>
            <w:pPr>
              <w:widowControl/>
              <w:rPr>
                <w:rFonts w:ascii="Times New Roman" w:hAnsi="Times New Roman" w:eastAsia="仿宋_GB2312" w:cs="Times New Roman"/>
                <w:color w:val="000000" w:themeColor="text1"/>
                <w:kern w:val="0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kern w:val="0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西南应用磁学研究所</w:t>
            </w:r>
          </w:p>
        </w:tc>
        <w:tc>
          <w:tcPr>
            <w:tcW w:w="1635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仿宋_GB2312" w:cs="Times New Roman"/>
                <w:color w:val="000000" w:themeColor="text1"/>
                <w:kern w:val="0"/>
                <w:sz w:val="24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kern w:val="0"/>
                <w:sz w:val="24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高新区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039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仿宋_GB2312" w:cs="Times New Roman"/>
                <w:color w:val="000000" w:themeColor="text1"/>
                <w:kern w:val="0"/>
                <w:sz w:val="24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kern w:val="0"/>
                <w:sz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</w:t>
            </w:r>
          </w:p>
        </w:tc>
        <w:tc>
          <w:tcPr>
            <w:tcW w:w="3980" w:type="dxa"/>
            <w:shd w:val="clear" w:color="auto" w:fill="auto"/>
            <w:vAlign w:val="center"/>
          </w:tcPr>
          <w:p>
            <w:pPr>
              <w:widowControl/>
              <w:rPr>
                <w:rFonts w:ascii="Times New Roman" w:hAnsi="Times New Roman" w:eastAsia="仿宋_GB2312" w:cs="Times New Roman"/>
                <w:color w:val="000000" w:themeColor="text1"/>
                <w:kern w:val="0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kern w:val="0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四川省马铃薯工程技术研究中心</w:t>
            </w:r>
          </w:p>
        </w:tc>
        <w:tc>
          <w:tcPr>
            <w:tcW w:w="3171" w:type="dxa"/>
            <w:shd w:val="clear" w:color="auto" w:fill="auto"/>
            <w:vAlign w:val="center"/>
          </w:tcPr>
          <w:p>
            <w:pPr>
              <w:widowControl/>
              <w:rPr>
                <w:rFonts w:ascii="Times New Roman" w:hAnsi="Times New Roman" w:eastAsia="仿宋_GB2312" w:cs="Times New Roman"/>
                <w:color w:val="000000" w:themeColor="text1"/>
                <w:kern w:val="0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kern w:val="0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四川光友薯业有限公司</w:t>
            </w:r>
          </w:p>
        </w:tc>
        <w:tc>
          <w:tcPr>
            <w:tcW w:w="1635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仿宋_GB2312" w:cs="Times New Roman"/>
                <w:color w:val="000000" w:themeColor="text1"/>
                <w:kern w:val="0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kern w:val="0"/>
                <w:sz w:val="24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高新区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9825" w:type="dxa"/>
            <w:gridSpan w:val="4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eastAsia="仿宋_GB2312" w:cs="Times New Roman"/>
                <w:b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b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2010年认定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039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仿宋_GB2312" w:cs="Times New Roman"/>
                <w:color w:val="000000" w:themeColor="text1"/>
                <w:kern w:val="0"/>
                <w:sz w:val="24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kern w:val="0"/>
                <w:sz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3980" w:type="dxa"/>
            <w:shd w:val="clear" w:color="auto" w:fill="auto"/>
            <w:vAlign w:val="center"/>
          </w:tcPr>
          <w:p>
            <w:pPr>
              <w:widowControl/>
              <w:rPr>
                <w:rFonts w:ascii="Times New Roman" w:hAnsi="Times New Roman" w:eastAsia="仿宋_GB2312" w:cs="Times New Roman"/>
                <w:color w:val="000000" w:themeColor="text1"/>
                <w:kern w:val="0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kern w:val="0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四川省功能杂环化合物工程技术研究中心</w:t>
            </w:r>
          </w:p>
        </w:tc>
        <w:tc>
          <w:tcPr>
            <w:tcW w:w="3171" w:type="dxa"/>
            <w:shd w:val="clear" w:color="auto" w:fill="auto"/>
            <w:vAlign w:val="center"/>
          </w:tcPr>
          <w:p>
            <w:pPr>
              <w:widowControl/>
              <w:rPr>
                <w:rFonts w:ascii="Times New Roman" w:hAnsi="Times New Roman" w:eastAsia="仿宋_GB2312" w:cs="Times New Roman"/>
                <w:color w:val="000000" w:themeColor="text1"/>
                <w:kern w:val="0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kern w:val="0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利尔化学股份有限公司</w:t>
            </w:r>
          </w:p>
        </w:tc>
        <w:tc>
          <w:tcPr>
            <w:tcW w:w="1635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仿宋_GB2312" w:cs="Times New Roman"/>
                <w:color w:val="000000" w:themeColor="text1"/>
                <w:kern w:val="0"/>
                <w:sz w:val="24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kern w:val="0"/>
                <w:sz w:val="24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经开区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9825" w:type="dxa"/>
            <w:gridSpan w:val="4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eastAsia="仿宋_GB2312" w:cs="Times New Roman"/>
                <w:b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b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2011年认定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039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仿宋_GB2312" w:cs="Times New Roman"/>
                <w:color w:val="000000" w:themeColor="text1"/>
                <w:kern w:val="0"/>
                <w:sz w:val="24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kern w:val="0"/>
                <w:sz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3980" w:type="dxa"/>
            <w:shd w:val="clear" w:color="auto" w:fill="auto"/>
            <w:vAlign w:val="center"/>
          </w:tcPr>
          <w:p>
            <w:pPr>
              <w:widowControl/>
              <w:rPr>
                <w:rFonts w:ascii="Times New Roman" w:hAnsi="Times New Roman" w:eastAsia="仿宋_GB2312" w:cs="Times New Roman"/>
                <w:color w:val="000000" w:themeColor="text1"/>
                <w:kern w:val="0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kern w:val="0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四川省家电产品绿色制造工程技术研究中心</w:t>
            </w:r>
          </w:p>
        </w:tc>
        <w:tc>
          <w:tcPr>
            <w:tcW w:w="3171" w:type="dxa"/>
            <w:shd w:val="clear" w:color="auto" w:fill="auto"/>
            <w:vAlign w:val="center"/>
          </w:tcPr>
          <w:p>
            <w:pPr>
              <w:widowControl/>
              <w:rPr>
                <w:rFonts w:ascii="Times New Roman" w:hAnsi="Times New Roman" w:eastAsia="仿宋_GB2312" w:cs="Times New Roman"/>
                <w:color w:val="000000" w:themeColor="text1"/>
                <w:kern w:val="0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kern w:val="0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四川长虹电器股份有限公司</w:t>
            </w:r>
          </w:p>
        </w:tc>
        <w:tc>
          <w:tcPr>
            <w:tcW w:w="1635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仿宋_GB2312" w:cs="Times New Roman"/>
                <w:color w:val="000000" w:themeColor="text1"/>
                <w:kern w:val="0"/>
                <w:sz w:val="24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kern w:val="0"/>
                <w:sz w:val="24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高新区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7" w:hRule="atLeast"/>
        </w:trPr>
        <w:tc>
          <w:tcPr>
            <w:tcW w:w="1039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仿宋_GB2312" w:cs="Times New Roman"/>
                <w:color w:val="000000" w:themeColor="text1"/>
                <w:kern w:val="0"/>
                <w:sz w:val="24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kern w:val="0"/>
                <w:sz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3980" w:type="dxa"/>
            <w:shd w:val="clear" w:color="auto" w:fill="auto"/>
            <w:vAlign w:val="center"/>
          </w:tcPr>
          <w:p>
            <w:pPr>
              <w:widowControl/>
              <w:rPr>
                <w:rFonts w:ascii="Times New Roman" w:hAnsi="Times New Roman" w:eastAsia="仿宋_GB2312" w:cs="Times New Roman"/>
                <w:color w:val="000000" w:themeColor="text1"/>
                <w:kern w:val="0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kern w:val="0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四川省氢同位素工程技术研究中心</w:t>
            </w:r>
          </w:p>
        </w:tc>
        <w:tc>
          <w:tcPr>
            <w:tcW w:w="3171" w:type="dxa"/>
            <w:shd w:val="clear" w:color="auto" w:fill="auto"/>
            <w:vAlign w:val="center"/>
          </w:tcPr>
          <w:p>
            <w:pPr>
              <w:widowControl/>
              <w:rPr>
                <w:rFonts w:ascii="Times New Roman" w:hAnsi="Times New Roman" w:eastAsia="仿宋_GB2312" w:cs="Times New Roman"/>
                <w:color w:val="000000" w:themeColor="text1"/>
                <w:kern w:val="0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kern w:val="0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四川材料与工艺研究所</w:t>
            </w:r>
          </w:p>
        </w:tc>
        <w:tc>
          <w:tcPr>
            <w:tcW w:w="1635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仿宋_GB2312" w:cs="Times New Roman"/>
                <w:color w:val="000000" w:themeColor="text1"/>
                <w:kern w:val="0"/>
                <w:sz w:val="24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kern w:val="0"/>
                <w:sz w:val="24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科学城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039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仿宋_GB2312" w:cs="Times New Roman"/>
                <w:color w:val="000000" w:themeColor="text1"/>
                <w:kern w:val="0"/>
                <w:sz w:val="24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kern w:val="0"/>
                <w:sz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3980" w:type="dxa"/>
            <w:shd w:val="clear" w:color="auto" w:fill="auto"/>
            <w:vAlign w:val="center"/>
          </w:tcPr>
          <w:p>
            <w:pPr>
              <w:widowControl/>
              <w:rPr>
                <w:rFonts w:ascii="Times New Roman" w:hAnsi="Times New Roman" w:eastAsia="仿宋_GB2312" w:cs="Times New Roman"/>
                <w:color w:val="000000" w:themeColor="text1"/>
                <w:kern w:val="0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kern w:val="0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四川省数字内容保护工程技术研究中心</w:t>
            </w:r>
          </w:p>
        </w:tc>
        <w:tc>
          <w:tcPr>
            <w:tcW w:w="3171" w:type="dxa"/>
            <w:shd w:val="clear" w:color="auto" w:fill="auto"/>
            <w:vAlign w:val="center"/>
          </w:tcPr>
          <w:p>
            <w:pPr>
              <w:widowControl/>
              <w:rPr>
                <w:rFonts w:ascii="Times New Roman" w:hAnsi="Times New Roman" w:eastAsia="仿宋_GB2312" w:cs="Times New Roman"/>
                <w:color w:val="000000" w:themeColor="text1"/>
                <w:kern w:val="0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kern w:val="0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四川长虹电器股份有限公司</w:t>
            </w:r>
          </w:p>
        </w:tc>
        <w:tc>
          <w:tcPr>
            <w:tcW w:w="1635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仿宋_GB2312" w:cs="Times New Roman"/>
                <w:color w:val="000000" w:themeColor="text1"/>
                <w:kern w:val="0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kern w:val="0"/>
                <w:sz w:val="24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高新区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9825" w:type="dxa"/>
            <w:gridSpan w:val="4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eastAsia="仿宋_GB2312" w:cs="Times New Roman"/>
                <w:b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b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2012年认定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039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仿宋_GB2312" w:cs="Times New Roman"/>
                <w:color w:val="000000" w:themeColor="text1"/>
                <w:kern w:val="0"/>
                <w:sz w:val="24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kern w:val="0"/>
                <w:sz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3980" w:type="dxa"/>
            <w:shd w:val="clear" w:color="auto" w:fill="auto"/>
            <w:vAlign w:val="center"/>
          </w:tcPr>
          <w:p>
            <w:pPr>
              <w:widowControl/>
              <w:rPr>
                <w:rFonts w:ascii="Times New Roman" w:hAnsi="Times New Roman" w:eastAsia="仿宋_GB2312" w:cs="Times New Roman"/>
                <w:color w:val="000000" w:themeColor="text1"/>
                <w:kern w:val="0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kern w:val="0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四川省杂交水稻商业化育种工程技术研究中心</w:t>
            </w:r>
          </w:p>
        </w:tc>
        <w:tc>
          <w:tcPr>
            <w:tcW w:w="3171" w:type="dxa"/>
            <w:shd w:val="clear" w:color="auto" w:fill="auto"/>
            <w:vAlign w:val="center"/>
          </w:tcPr>
          <w:p>
            <w:pPr>
              <w:widowControl/>
              <w:rPr>
                <w:rFonts w:ascii="Times New Roman" w:hAnsi="Times New Roman" w:eastAsia="仿宋_GB2312" w:cs="Times New Roman"/>
                <w:color w:val="000000" w:themeColor="text1"/>
                <w:kern w:val="0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kern w:val="0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四川西科种业股份有限公司</w:t>
            </w:r>
          </w:p>
        </w:tc>
        <w:tc>
          <w:tcPr>
            <w:tcW w:w="1635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仿宋_GB2312" w:cs="Times New Roman"/>
                <w:color w:val="000000" w:themeColor="text1"/>
                <w:kern w:val="0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kern w:val="0"/>
                <w:sz w:val="24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高新区</w:t>
            </w:r>
          </w:p>
        </w:tc>
      </w:tr>
    </w:tbl>
    <w:p>
      <w:pPr>
        <w:spacing w:line="600" w:lineRule="exact"/>
        <w:jc w:val="left"/>
        <w:rPr>
          <w:rFonts w:ascii="Times New Roman" w:hAnsi="Times New Roman" w:eastAsia="黑体" w:cs="Times New Roman"/>
          <w:sz w:val="32"/>
          <w:szCs w:val="32"/>
        </w:rPr>
      </w:pPr>
    </w:p>
    <w:sectPr>
      <w:footerReference r:id="rId3" w:type="default"/>
      <w:footerReference r:id="rId4" w:type="even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方正小标宋_GBK">
    <w:altName w:val="微软雅黑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方正小标宋简体">
    <w:panose1 w:val="03000509000000000000"/>
    <w:charset w:val="86"/>
    <w:family w:val="roman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jc w:val="both"/>
    </w:pPr>
    <w: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posOffset>4745355</wp:posOffset>
              </wp:positionH>
              <wp:positionV relativeFrom="paragraph">
                <wp:posOffset>-139700</wp:posOffset>
              </wp:positionV>
              <wp:extent cx="511810" cy="285115"/>
              <wp:effectExtent l="0" t="0" r="0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1810" cy="28511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  <w:jc w:val="right"/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 w:hAnsi="Times New Roman" w:eastAsia="宋体" w:cs="Times New Roman"/>
                              <w:sz w:val="24"/>
                              <w:szCs w:val="24"/>
                            </w:rPr>
                            <w:t>—</w:t>
                          </w:r>
                          <w:r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fldChar w:fldCharType="begin"/>
                          </w:r>
                          <w:r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fldChar w:fldCharType="separate"/>
                          </w:r>
                          <w:r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>3</w:t>
                          </w:r>
                          <w:r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fldChar w:fldCharType="end"/>
                          </w:r>
                          <w:r>
                            <w:rPr>
                              <w:rFonts w:ascii="Times New Roman" w:hAnsi="Times New Roman" w:eastAsia="宋体" w:cs="Times New Roman"/>
                              <w:sz w:val="24"/>
                              <w:szCs w:val="24"/>
                            </w:rPr>
                            <w:t>—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left:373.65pt;margin-top:-11pt;height:22.45pt;width:40.3pt;mso-position-horizontal-relative:margin;z-index:251658240;mso-width-relative:page;mso-height-relative:page;" filled="f" stroked="f" coordsize="21600,21600" o:gfxdata="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">
              <v:fill on="f" focussize="0,0"/>
              <v:stroke on="f" weight="0.5pt"/>
              <v:imagedata o:title=""/>
              <o:lock v:ext="edit" aspectratio="f"/>
              <v:textbox inset="0mm,0mm,0mm,0mm">
                <w:txbxContent>
                  <w:p>
                    <w:pPr>
                      <w:pStyle w:val="3"/>
                      <w:jc w:val="right"/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</w:pPr>
                    <w:r>
                      <w:rPr>
                        <w:rFonts w:ascii="Times New Roman" w:hAnsi="Times New Roman" w:eastAsia="宋体" w:cs="Times New Roman"/>
                        <w:sz w:val="24"/>
                        <w:szCs w:val="24"/>
                      </w:rPr>
                      <w:t>—</w:t>
                    </w:r>
                    <w:r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fldChar w:fldCharType="begin"/>
                    </w:r>
                    <w:r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instrText xml:space="preserve"> PAGE  \* MERGEFORMAT </w:instrText>
                    </w:r>
                    <w:r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fldChar w:fldCharType="separate"/>
                    </w:r>
                    <w:r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3</w:t>
                    </w:r>
                    <w:r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fldChar w:fldCharType="end"/>
                    </w:r>
                    <w:r>
                      <w:rPr>
                        <w:rFonts w:ascii="Times New Roman" w:hAnsi="Times New Roman" w:eastAsia="宋体" w:cs="Times New Roman"/>
                        <w:sz w:val="24"/>
                        <w:szCs w:val="24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tabs>
        <w:tab w:val="left" w:pos="605"/>
        <w:tab w:val="clear" w:pos="4153"/>
      </w:tabs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posOffset>0</wp:posOffset>
              </wp:positionH>
              <wp:positionV relativeFrom="paragraph">
                <wp:posOffset>-130175</wp:posOffset>
              </wp:positionV>
              <wp:extent cx="530860" cy="276225"/>
              <wp:effectExtent l="0" t="0" r="0" b="0"/>
              <wp:wrapNone/>
              <wp:docPr id="5" name="文本框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30860" cy="2762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 w:hAnsi="Times New Roman" w:eastAsia="宋体" w:cs="Times New Roman"/>
                              <w:sz w:val="24"/>
                              <w:szCs w:val="24"/>
                            </w:rPr>
                            <w:t>—</w:t>
                          </w:r>
                          <w:r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fldChar w:fldCharType="begin"/>
                          </w:r>
                          <w:r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fldChar w:fldCharType="separate"/>
                          </w:r>
                          <w:r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>2</w:t>
                          </w:r>
                          <w:r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fldChar w:fldCharType="end"/>
                          </w:r>
                          <w:r>
                            <w:rPr>
                              <w:rFonts w:ascii="Times New Roman" w:hAnsi="Times New Roman" w:eastAsia="宋体" w:cs="Times New Roman"/>
                              <w:sz w:val="24"/>
                              <w:szCs w:val="24"/>
                            </w:rPr>
                            <w:t>—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left:0pt;margin-top:-10.25pt;height:21.75pt;width:41.8pt;mso-position-horizontal-relative:margin;z-index:251659264;mso-width-relative:page;mso-height-relative:page;" filled="f" stroked="f" coordsize="21600,21600" o:gfxdata="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">
              <v:fill on="f" focussize="0,0"/>
              <v:stroke on="f" weight="0.5pt"/>
              <v:imagedata o:title=""/>
              <o:lock v:ext="edit" aspectratio="f"/>
              <v:textbox inset="0mm,0mm,0mm,0mm">
                <w:txbxContent>
                  <w:p>
                    <w:pPr>
                      <w:pStyle w:val="3"/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</w:pPr>
                    <w:r>
                      <w:rPr>
                        <w:rFonts w:ascii="Times New Roman" w:hAnsi="Times New Roman" w:eastAsia="宋体" w:cs="Times New Roman"/>
                        <w:sz w:val="24"/>
                        <w:szCs w:val="24"/>
                      </w:rPr>
                      <w:t>—</w:t>
                    </w:r>
                    <w:r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fldChar w:fldCharType="begin"/>
                    </w:r>
                    <w:r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instrText xml:space="preserve"> PAGE  \* MERGEFORMAT </w:instrText>
                    </w:r>
                    <w:r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fldChar w:fldCharType="separate"/>
                    </w:r>
                    <w:r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2</w:t>
                    </w:r>
                    <w:r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fldChar w:fldCharType="end"/>
                    </w:r>
                    <w:r>
                      <w:rPr>
                        <w:rFonts w:ascii="Times New Roman" w:hAnsi="Times New Roman" w:eastAsia="宋体" w:cs="Times New Roman"/>
                        <w:sz w:val="24"/>
                        <w:szCs w:val="24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  <w:r>
      <w:rPr>
        <w:rFonts w:hint="eastAsia"/>
      </w:rPr>
      <w:tab/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documentProtection w:enforcement="0"/>
  <w:defaultTabStop w:val="420"/>
  <w:evenAndOddHeaders w:val="1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373C"/>
    <w:rsid w:val="000C21F1"/>
    <w:rsid w:val="0010150B"/>
    <w:rsid w:val="00145965"/>
    <w:rsid w:val="003E5C09"/>
    <w:rsid w:val="00445804"/>
    <w:rsid w:val="004705E9"/>
    <w:rsid w:val="00472A04"/>
    <w:rsid w:val="004B6F86"/>
    <w:rsid w:val="00552B3C"/>
    <w:rsid w:val="00571935"/>
    <w:rsid w:val="00573536"/>
    <w:rsid w:val="005E7E15"/>
    <w:rsid w:val="006D032F"/>
    <w:rsid w:val="006D1856"/>
    <w:rsid w:val="006D3B17"/>
    <w:rsid w:val="006F5215"/>
    <w:rsid w:val="006F73BE"/>
    <w:rsid w:val="00786C9F"/>
    <w:rsid w:val="007B55F1"/>
    <w:rsid w:val="0081319F"/>
    <w:rsid w:val="00871FAF"/>
    <w:rsid w:val="008F474A"/>
    <w:rsid w:val="008F698C"/>
    <w:rsid w:val="009407C9"/>
    <w:rsid w:val="00976862"/>
    <w:rsid w:val="00990FAA"/>
    <w:rsid w:val="00AB0939"/>
    <w:rsid w:val="00B4451A"/>
    <w:rsid w:val="00B75C97"/>
    <w:rsid w:val="00BB0862"/>
    <w:rsid w:val="00C4373C"/>
    <w:rsid w:val="00C91B92"/>
    <w:rsid w:val="00D52E12"/>
    <w:rsid w:val="00D66410"/>
    <w:rsid w:val="00D96EA5"/>
    <w:rsid w:val="00DB122D"/>
    <w:rsid w:val="00E64078"/>
    <w:rsid w:val="00EA3ABB"/>
    <w:rsid w:val="00EB5C11"/>
    <w:rsid w:val="0A5A748D"/>
    <w:rsid w:val="0FD238B9"/>
    <w:rsid w:val="107C0696"/>
    <w:rsid w:val="120721A8"/>
    <w:rsid w:val="122C41D8"/>
    <w:rsid w:val="14AB3387"/>
    <w:rsid w:val="17E51EC8"/>
    <w:rsid w:val="20775616"/>
    <w:rsid w:val="21894AAB"/>
    <w:rsid w:val="27C82688"/>
    <w:rsid w:val="29D3091C"/>
    <w:rsid w:val="2A287A71"/>
    <w:rsid w:val="30A4453A"/>
    <w:rsid w:val="33D067AF"/>
    <w:rsid w:val="42530F13"/>
    <w:rsid w:val="42DA05EC"/>
    <w:rsid w:val="43AE2626"/>
    <w:rsid w:val="451064CF"/>
    <w:rsid w:val="47282344"/>
    <w:rsid w:val="49F23F1A"/>
    <w:rsid w:val="4E425113"/>
    <w:rsid w:val="4F993147"/>
    <w:rsid w:val="54EC2D82"/>
    <w:rsid w:val="561229B8"/>
    <w:rsid w:val="61C931BC"/>
    <w:rsid w:val="681F1286"/>
    <w:rsid w:val="6B5C03DD"/>
    <w:rsid w:val="6C2A24E5"/>
    <w:rsid w:val="71F04329"/>
    <w:rsid w:val="7413736D"/>
    <w:rsid w:val="74584525"/>
    <w:rsid w:val="757F0EFC"/>
    <w:rsid w:val="797957F0"/>
    <w:rsid w:val="7C7A2287"/>
    <w:rsid w:val="7F182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9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页眉 Char"/>
    <w:basedOn w:val="6"/>
    <w:link w:val="4"/>
    <w:qFormat/>
    <w:uiPriority w:val="99"/>
    <w:rPr>
      <w:sz w:val="18"/>
      <w:szCs w:val="18"/>
    </w:rPr>
  </w:style>
  <w:style w:type="character" w:customStyle="1" w:styleId="8">
    <w:name w:val="页脚 Char"/>
    <w:basedOn w:val="6"/>
    <w:link w:val="3"/>
    <w:qFormat/>
    <w:uiPriority w:val="99"/>
    <w:rPr>
      <w:sz w:val="18"/>
      <w:szCs w:val="18"/>
    </w:rPr>
  </w:style>
  <w:style w:type="character" w:customStyle="1" w:styleId="9">
    <w:name w:val="批注框文本 Char"/>
    <w:basedOn w:val="6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2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0E6951C4-AB89-4316-B1B8-2532B61919A7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5</Pages>
  <Words>1644</Words>
  <Characters>1793</Characters>
  <Lines>94</Lines>
  <Paragraphs>76</Paragraphs>
  <TotalTime>31</TotalTime>
  <ScaleCrop>false</ScaleCrop>
  <LinksUpToDate>false</LinksUpToDate>
  <CharactersWithSpaces>3361</CharactersWithSpaces>
  <Application>WPS Office_11.3.0.9228_F1E327BC-269C-435d-A152-05C5408002CA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2020-10-16T02:44:00Z</dcterms:created>
  <dc:creator>施福忠</dc:creator>
  <cp:lastModifiedBy>诗欤</cp:lastModifiedBy>
  <cp:lastPrinted>2019-06-14T06:08:00Z</cp:lastPrinted>
  <dcterms:modified xsi:type="dcterms:W3CDTF">2020-10-20T07:17:23Z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2052-11.3.0.9228</vt:lpwstr>
  </property>
</Properties>
</file>