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Lines="0" w:beforeAutospacing="0" w:after="0" w:afterLines="0" w:afterAutospacing="0" w:line="560" w:lineRule="exact"/>
        <w:ind w:right="0" w:rightChars="0"/>
        <w:jc w:val="both"/>
        <w:textAlignment w:val="auto"/>
        <w:rPr>
          <w:rFonts w:hint="eastAsia" w:ascii="黑体" w:hAnsi="黑体" w:eastAsia="黑体" w:cs="黑体"/>
          <w:b/>
          <w:bCs/>
          <w:i w:val="0"/>
          <w:caps w:val="0"/>
          <w:color w:val="auto"/>
          <w:spacing w:val="0"/>
          <w:sz w:val="32"/>
          <w:szCs w:val="32"/>
          <w:shd w:val="clear" w:color="auto" w:fill="FFFFFF"/>
          <w:lang w:val="en-US" w:eastAsia="zh-CN"/>
        </w:rPr>
      </w:pPr>
      <w:r>
        <w:rPr>
          <w:rFonts w:hint="eastAsia" w:ascii="黑体" w:hAnsi="黑体" w:eastAsia="黑体" w:cs="黑体"/>
          <w:b/>
          <w:bCs/>
          <w:i w:val="0"/>
          <w:caps w:val="0"/>
          <w:color w:val="auto"/>
          <w:spacing w:val="0"/>
          <w:sz w:val="32"/>
          <w:szCs w:val="32"/>
          <w:shd w:val="clear" w:color="auto" w:fill="FFFFFF"/>
          <w:lang w:val="en-US" w:eastAsia="zh-CN"/>
        </w:rPr>
        <w:t>附件</w:t>
      </w:r>
      <w:bookmarkStart w:id="0" w:name="_GoBack"/>
      <w:bookmarkEnd w:id="0"/>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Lines="0" w:beforeAutospacing="0" w:after="0" w:afterLines="0" w:afterAutospacing="0" w:line="560" w:lineRule="exact"/>
        <w:ind w:right="0" w:rightChars="0"/>
        <w:jc w:val="both"/>
        <w:textAlignment w:val="auto"/>
        <w:rPr>
          <w:rFonts w:hint="default" w:ascii="黑体" w:hAnsi="黑体" w:eastAsia="黑体" w:cs="黑体"/>
          <w:b/>
          <w:bCs/>
          <w:i w:val="0"/>
          <w:caps w:val="0"/>
          <w:color w:val="auto"/>
          <w:spacing w:val="0"/>
          <w:sz w:val="32"/>
          <w:szCs w:val="32"/>
          <w:shd w:val="clear" w:color="auto" w:fill="FFFFFF"/>
          <w:lang w:val="en-US" w:eastAsia="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Lines="0" w:beforeAutospacing="0" w:after="0" w:afterLines="0" w:afterAutospacing="0" w:line="560" w:lineRule="exact"/>
        <w:ind w:leftChars="200" w:right="0" w:rightChars="0"/>
        <w:jc w:val="center"/>
        <w:textAlignment w:val="auto"/>
        <w:rPr>
          <w:rFonts w:hint="eastAsia" w:ascii="黑体" w:hAnsi="黑体" w:eastAsia="黑体" w:cs="黑体"/>
          <w:b/>
          <w:bCs/>
          <w:i w:val="0"/>
          <w:caps w:val="0"/>
          <w:color w:val="auto"/>
          <w:spacing w:val="0"/>
          <w:sz w:val="44"/>
          <w:szCs w:val="44"/>
          <w:shd w:val="clear" w:color="auto" w:fill="FFFFFF"/>
          <w:lang w:val="en-US" w:eastAsia="zh-CN"/>
        </w:rPr>
      </w:pPr>
      <w:r>
        <w:rPr>
          <w:rFonts w:hint="eastAsia" w:ascii="黑体" w:hAnsi="黑体" w:eastAsia="黑体" w:cs="黑体"/>
          <w:b/>
          <w:bCs/>
          <w:i w:val="0"/>
          <w:caps w:val="0"/>
          <w:color w:val="auto"/>
          <w:spacing w:val="0"/>
          <w:sz w:val="44"/>
          <w:szCs w:val="44"/>
          <w:shd w:val="clear" w:color="auto" w:fill="FFFFFF"/>
          <w:lang w:val="en-US" w:eastAsia="zh-CN"/>
        </w:rPr>
        <w:t>中国（绵阳）跨境电子商务综合试验区</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Lines="0" w:beforeAutospacing="0" w:after="0" w:afterLines="0" w:afterAutospacing="0" w:line="560" w:lineRule="exact"/>
        <w:ind w:leftChars="200" w:right="0" w:rightChars="0"/>
        <w:jc w:val="center"/>
        <w:textAlignment w:val="auto"/>
        <w:rPr>
          <w:rFonts w:hint="eastAsia" w:ascii="黑体" w:hAnsi="黑体" w:eastAsia="黑体" w:cs="黑体"/>
          <w:b/>
          <w:bCs/>
          <w:i w:val="0"/>
          <w:caps w:val="0"/>
          <w:color w:val="auto"/>
          <w:spacing w:val="0"/>
          <w:sz w:val="44"/>
          <w:szCs w:val="44"/>
          <w:shd w:val="clear" w:color="auto" w:fill="FFFFFF"/>
          <w:lang w:val="en-US" w:eastAsia="zh-CN"/>
        </w:rPr>
      </w:pPr>
      <w:r>
        <w:rPr>
          <w:rFonts w:hint="eastAsia" w:ascii="黑体" w:hAnsi="黑体" w:eastAsia="黑体" w:cs="黑体"/>
          <w:b/>
          <w:bCs/>
          <w:i w:val="0"/>
          <w:caps w:val="0"/>
          <w:color w:val="auto"/>
          <w:spacing w:val="0"/>
          <w:sz w:val="44"/>
          <w:szCs w:val="44"/>
          <w:shd w:val="clear" w:color="auto" w:fill="FFFFFF"/>
          <w:lang w:val="en-US" w:eastAsia="zh-CN"/>
        </w:rPr>
        <w:t>实施方案（征求意见稿）</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Lines="0" w:beforeAutospacing="0" w:after="0" w:afterLines="0" w:afterAutospacing="0" w:line="560" w:lineRule="exact"/>
        <w:ind w:leftChars="200" w:right="0" w:rightChars="0"/>
        <w:jc w:val="center"/>
        <w:textAlignment w:val="auto"/>
        <w:rPr>
          <w:rFonts w:hint="eastAsia" w:ascii="黑体" w:hAnsi="黑体" w:eastAsia="黑体" w:cs="黑体"/>
          <w:b/>
          <w:bCs/>
          <w:i w:val="0"/>
          <w:caps w:val="0"/>
          <w:color w:val="auto"/>
          <w:spacing w:val="0"/>
          <w:sz w:val="44"/>
          <w:szCs w:val="44"/>
          <w:shd w:val="clear" w:color="auto" w:fill="FFFFFF"/>
          <w:lang w:val="en-US" w:eastAsia="zh-CN"/>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Lines="0" w:beforeAutospacing="0" w:after="0" w:afterLines="0" w:afterAutospacing="0" w:line="560" w:lineRule="exact"/>
        <w:ind w:right="0" w:firstLine="640" w:firstLineChars="200"/>
        <w:jc w:val="both"/>
        <w:textAlignment w:val="auto"/>
        <w:rPr>
          <w:rFonts w:hint="default" w:ascii="仿宋_GB2312" w:hAnsi="仿宋_GB2312" w:eastAsia="仿宋_GB2312" w:cs="仿宋_GB2312"/>
          <w:i w:val="0"/>
          <w:caps w:val="0"/>
          <w:color w:val="auto"/>
          <w:spacing w:val="0"/>
          <w:sz w:val="32"/>
          <w:szCs w:val="32"/>
          <w:shd w:val="clear" w:color="auto" w:fill="FFFFFF"/>
          <w:lang w:val="en-US"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为贯彻落实《国务院办公厅关于促进跨境电子商务健康快速发展的指导意见》（国办发</w:t>
      </w:r>
      <w:r>
        <w:rPr>
          <w:rFonts w:hint="eastAsia" w:ascii="仿宋_GB2312" w:hAnsi="仿宋_GB2312" w:eastAsia="仿宋_GB2312" w:cs="仿宋_GB2312"/>
          <w:i w:val="0"/>
          <w:caps w:val="0"/>
          <w:color w:val="000000"/>
          <w:spacing w:val="0"/>
          <w:sz w:val="32"/>
          <w:szCs w:val="32"/>
          <w:shd w:val="clear" w:color="auto" w:fill="FFFFFF"/>
        </w:rPr>
        <w:t>〔20</w:t>
      </w:r>
      <w:r>
        <w:rPr>
          <w:rFonts w:hint="eastAsia" w:ascii="仿宋_GB2312" w:hAnsi="仿宋_GB2312" w:eastAsia="仿宋_GB2312" w:cs="仿宋_GB2312"/>
          <w:i w:val="0"/>
          <w:caps w:val="0"/>
          <w:color w:val="000000"/>
          <w:spacing w:val="0"/>
          <w:sz w:val="32"/>
          <w:szCs w:val="32"/>
          <w:shd w:val="clear" w:color="auto" w:fill="FFFFFF"/>
          <w:lang w:val="en-US" w:eastAsia="zh-CN"/>
        </w:rPr>
        <w:t>15</w:t>
      </w:r>
      <w:r>
        <w:rPr>
          <w:rFonts w:hint="eastAsia" w:ascii="仿宋_GB2312" w:hAnsi="仿宋_GB2312" w:eastAsia="仿宋_GB2312" w:cs="仿宋_GB2312"/>
          <w:i w:val="0"/>
          <w:caps w:val="0"/>
          <w:color w:val="000000"/>
          <w:spacing w:val="0"/>
          <w:sz w:val="32"/>
          <w:szCs w:val="32"/>
          <w:shd w:val="clear" w:color="auto" w:fill="FFFFFF"/>
        </w:rPr>
        <w:t>〕</w:t>
      </w:r>
      <w:r>
        <w:rPr>
          <w:rFonts w:hint="eastAsia" w:ascii="仿宋_GB2312" w:hAnsi="仿宋_GB2312" w:eastAsia="仿宋_GB2312" w:cs="仿宋_GB2312"/>
          <w:i w:val="0"/>
          <w:caps w:val="0"/>
          <w:color w:val="000000"/>
          <w:spacing w:val="0"/>
          <w:sz w:val="32"/>
          <w:szCs w:val="32"/>
          <w:shd w:val="clear" w:color="auto" w:fill="FFFFFF"/>
          <w:lang w:val="en-US" w:eastAsia="zh-CN"/>
        </w:rPr>
        <w:t>46</w:t>
      </w:r>
      <w:r>
        <w:rPr>
          <w:rFonts w:hint="eastAsia" w:ascii="仿宋_GB2312" w:hAnsi="仿宋_GB2312" w:eastAsia="仿宋_GB2312" w:cs="仿宋_GB2312"/>
          <w:i w:val="0"/>
          <w:caps w:val="0"/>
          <w:color w:val="000000"/>
          <w:spacing w:val="0"/>
          <w:sz w:val="32"/>
          <w:szCs w:val="32"/>
          <w:shd w:val="clear" w:color="auto" w:fill="FFFFFF"/>
        </w:rPr>
        <w:t>号</w:t>
      </w:r>
      <w:r>
        <w:rPr>
          <w:rFonts w:hint="eastAsia" w:ascii="仿宋_GB2312" w:hAnsi="仿宋_GB2312" w:eastAsia="仿宋_GB2312" w:cs="仿宋_GB2312"/>
          <w:i w:val="0"/>
          <w:caps w:val="0"/>
          <w:color w:val="auto"/>
          <w:spacing w:val="0"/>
          <w:sz w:val="32"/>
          <w:szCs w:val="32"/>
          <w:shd w:val="clear" w:color="auto" w:fill="FFFFFF"/>
          <w:lang w:val="en-US" w:eastAsia="zh-CN"/>
        </w:rPr>
        <w:t>）、《国务院关于同意在雄安新区等46个城市和地区设立跨境电子商务综合试验区的批复》（国函</w:t>
      </w:r>
      <w:r>
        <w:rPr>
          <w:rFonts w:hint="eastAsia" w:ascii="仿宋_GB2312" w:hAnsi="仿宋_GB2312" w:eastAsia="仿宋_GB2312" w:cs="仿宋_GB2312"/>
          <w:i w:val="0"/>
          <w:caps w:val="0"/>
          <w:color w:val="000000"/>
          <w:spacing w:val="0"/>
          <w:sz w:val="32"/>
          <w:szCs w:val="32"/>
          <w:shd w:val="clear" w:color="auto" w:fill="FFFFFF"/>
        </w:rPr>
        <w:t>〔20</w:t>
      </w:r>
      <w:r>
        <w:rPr>
          <w:rFonts w:hint="eastAsia" w:ascii="仿宋_GB2312" w:hAnsi="仿宋_GB2312" w:eastAsia="仿宋_GB2312" w:cs="仿宋_GB2312"/>
          <w:i w:val="0"/>
          <w:caps w:val="0"/>
          <w:color w:val="000000"/>
          <w:spacing w:val="0"/>
          <w:sz w:val="32"/>
          <w:szCs w:val="32"/>
          <w:shd w:val="clear" w:color="auto" w:fill="FFFFFF"/>
          <w:lang w:val="en-US" w:eastAsia="zh-CN"/>
        </w:rPr>
        <w:t>20</w:t>
      </w:r>
      <w:r>
        <w:rPr>
          <w:rFonts w:hint="eastAsia" w:ascii="仿宋_GB2312" w:hAnsi="仿宋_GB2312" w:eastAsia="仿宋_GB2312" w:cs="仿宋_GB2312"/>
          <w:i w:val="0"/>
          <w:caps w:val="0"/>
          <w:color w:val="000000"/>
          <w:spacing w:val="0"/>
          <w:sz w:val="32"/>
          <w:szCs w:val="32"/>
          <w:shd w:val="clear" w:color="auto" w:fill="FFFFFF"/>
        </w:rPr>
        <w:t>〕</w:t>
      </w:r>
      <w:r>
        <w:rPr>
          <w:rFonts w:hint="eastAsia" w:ascii="仿宋_GB2312" w:hAnsi="仿宋_GB2312" w:eastAsia="仿宋_GB2312" w:cs="仿宋_GB2312"/>
          <w:i w:val="0"/>
          <w:caps w:val="0"/>
          <w:color w:val="000000"/>
          <w:spacing w:val="0"/>
          <w:sz w:val="32"/>
          <w:szCs w:val="32"/>
          <w:shd w:val="clear" w:color="auto" w:fill="FFFFFF"/>
          <w:lang w:val="en-US" w:eastAsia="zh-CN"/>
        </w:rPr>
        <w:t>47</w:t>
      </w:r>
      <w:r>
        <w:rPr>
          <w:rFonts w:hint="eastAsia" w:ascii="仿宋_GB2312" w:hAnsi="仿宋_GB2312" w:eastAsia="仿宋_GB2312" w:cs="仿宋_GB2312"/>
          <w:i w:val="0"/>
          <w:caps w:val="0"/>
          <w:color w:val="000000"/>
          <w:spacing w:val="0"/>
          <w:sz w:val="32"/>
          <w:szCs w:val="32"/>
          <w:shd w:val="clear" w:color="auto" w:fill="FFFFFF"/>
        </w:rPr>
        <w:t>号</w:t>
      </w:r>
      <w:r>
        <w:rPr>
          <w:rFonts w:hint="eastAsia" w:ascii="仿宋_GB2312" w:hAnsi="仿宋_GB2312" w:eastAsia="仿宋_GB2312" w:cs="仿宋_GB2312"/>
          <w:i w:val="0"/>
          <w:caps w:val="0"/>
          <w:color w:val="auto"/>
          <w:spacing w:val="0"/>
          <w:sz w:val="32"/>
          <w:szCs w:val="32"/>
          <w:shd w:val="clear" w:color="auto" w:fill="FFFFFF"/>
          <w:lang w:val="en-US" w:eastAsia="zh-CN"/>
        </w:rPr>
        <w:t>）精神，全面推进中国（绵阳）跨境电子商务综合试验区（以下简称“绵阳综试区”）建设，制定本实施方案。</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Lines="0" w:beforeAutospacing="0" w:after="0" w:afterLines="0" w:afterAutospacing="0" w:line="560" w:lineRule="exact"/>
        <w:ind w:right="0" w:firstLine="643" w:firstLineChars="200"/>
        <w:jc w:val="both"/>
        <w:textAlignment w:val="auto"/>
        <w:rPr>
          <w:rFonts w:hint="eastAsia" w:ascii="黑体" w:hAnsi="黑体" w:eastAsia="黑体" w:cs="黑体"/>
          <w:b/>
          <w:bCs/>
          <w:i w:val="0"/>
          <w:caps w:val="0"/>
          <w:color w:val="auto"/>
          <w:spacing w:val="0"/>
          <w:sz w:val="32"/>
          <w:szCs w:val="32"/>
          <w:shd w:val="clear" w:color="auto" w:fill="FFFFFF"/>
          <w:lang w:val="en-US" w:eastAsia="zh-CN"/>
        </w:rPr>
      </w:pPr>
      <w:r>
        <w:rPr>
          <w:rFonts w:hint="eastAsia" w:ascii="黑体" w:hAnsi="黑体" w:eastAsia="黑体" w:cs="黑体"/>
          <w:b/>
          <w:bCs/>
          <w:i w:val="0"/>
          <w:caps w:val="0"/>
          <w:color w:val="auto"/>
          <w:spacing w:val="0"/>
          <w:sz w:val="32"/>
          <w:szCs w:val="32"/>
          <w:shd w:val="clear" w:color="auto" w:fill="FFFFFF"/>
          <w:lang w:val="en-US" w:eastAsia="zh-CN"/>
        </w:rPr>
        <w:t>总体要求</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Lines="0" w:beforeAutospacing="0" w:after="0" w:afterLines="0" w:afterAutospacing="0" w:line="560" w:lineRule="exact"/>
        <w:ind w:leftChars="200" w:right="0" w:rightChars="0"/>
        <w:jc w:val="both"/>
        <w:textAlignment w:val="auto"/>
        <w:rPr>
          <w:rFonts w:hint="default" w:ascii="仿宋_GB2312" w:hAnsi="仿宋_GB2312" w:eastAsia="仿宋_GB2312" w:cs="仿宋_GB2312"/>
          <w:b/>
          <w:bCs/>
          <w:i w:val="0"/>
          <w:caps w:val="0"/>
          <w:color w:val="auto"/>
          <w:spacing w:val="0"/>
          <w:sz w:val="32"/>
          <w:szCs w:val="32"/>
          <w:shd w:val="clear" w:color="auto" w:fill="FFFFFF"/>
          <w:lang w:val="en-US" w:eastAsia="zh-CN"/>
        </w:rPr>
      </w:pPr>
      <w:r>
        <w:rPr>
          <w:rFonts w:hint="eastAsia" w:ascii="仿宋_GB2312" w:hAnsi="仿宋_GB2312" w:eastAsia="仿宋_GB2312" w:cs="仿宋_GB2312"/>
          <w:b/>
          <w:bCs/>
          <w:i w:val="0"/>
          <w:caps w:val="0"/>
          <w:color w:val="auto"/>
          <w:spacing w:val="0"/>
          <w:sz w:val="32"/>
          <w:szCs w:val="32"/>
          <w:shd w:val="clear" w:color="auto" w:fill="FFFFFF"/>
          <w:lang w:val="en-US" w:eastAsia="zh-CN"/>
        </w:rPr>
        <w:t>（一）指导思想</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Lines="0" w:beforeAutospacing="0" w:after="0" w:afterLines="0" w:afterAutospacing="0" w:line="560" w:lineRule="exact"/>
        <w:ind w:right="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lang w:val="en-US"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以习近平新时代中国特色社会主义思想为指导，全面贯彻党的十九大和十九届二中、三中、四中全会精神，深入学习贯彻习近平总书记对四川工作特别是绵阳科技城建设的重要指示精神，认真落实省委省政府“四向拓展、全域开放”战略部署，坚持新发展理念，全面实施创新驱动发展战略，以供给侧结构性改革为主线，以推动形成全面开放新格局为目标，依托中国科技城、绵阳综合保税区、国家电子商务示范城市等政策创新基础，释放绵阳智能制造潜力、电子信息全产业链制造能力，发挥绵阳川西北中心城市区位优势，利用电子商务改变国际贸易格局新机遇，充分借鉴和联动现有跨境电商综试区，试点示范内陆地区利用跨境电子商务创新创业、增强本地企业外向性基因、带动本土优势产业结构升级等具体实现路径，将绵阳建成立足本地优势产业、激发创新创业、联动西部中心城市、带动周边区域、连接国际市场的西部跨境电子商务发展高地，为推动全国跨境电子商务健康发展提供可复制、可推广的经验。</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Lines="0" w:beforeAutospacing="0" w:after="0" w:afterLines="0" w:afterAutospacing="0" w:line="560" w:lineRule="exact"/>
        <w:ind w:right="0" w:firstLine="643" w:firstLineChars="200"/>
        <w:jc w:val="both"/>
        <w:textAlignment w:val="auto"/>
        <w:rPr>
          <w:rFonts w:hint="default" w:ascii="仿宋_GB2312" w:hAnsi="仿宋_GB2312" w:eastAsia="仿宋_GB2312" w:cs="仿宋_GB2312"/>
          <w:b/>
          <w:bCs/>
          <w:i w:val="0"/>
          <w:caps w:val="0"/>
          <w:color w:val="auto"/>
          <w:spacing w:val="0"/>
          <w:sz w:val="32"/>
          <w:szCs w:val="32"/>
          <w:shd w:val="clear" w:color="auto" w:fill="FFFFFF"/>
          <w:lang w:val="en-US" w:eastAsia="zh-CN"/>
        </w:rPr>
      </w:pPr>
      <w:r>
        <w:rPr>
          <w:rFonts w:hint="eastAsia" w:ascii="仿宋_GB2312" w:hAnsi="仿宋_GB2312" w:eastAsia="仿宋_GB2312" w:cs="仿宋_GB2312"/>
          <w:b/>
          <w:bCs/>
          <w:i w:val="0"/>
          <w:caps w:val="0"/>
          <w:color w:val="auto"/>
          <w:spacing w:val="0"/>
          <w:sz w:val="32"/>
          <w:szCs w:val="32"/>
          <w:shd w:val="clear" w:color="auto" w:fill="FFFFFF"/>
          <w:lang w:eastAsia="zh-CN"/>
        </w:rPr>
        <w:t>（</w:t>
      </w:r>
      <w:r>
        <w:rPr>
          <w:rFonts w:hint="eastAsia" w:ascii="仿宋_GB2312" w:hAnsi="仿宋_GB2312" w:eastAsia="仿宋_GB2312" w:cs="仿宋_GB2312"/>
          <w:b/>
          <w:bCs/>
          <w:i w:val="0"/>
          <w:caps w:val="0"/>
          <w:color w:val="auto"/>
          <w:spacing w:val="0"/>
          <w:sz w:val="32"/>
          <w:szCs w:val="32"/>
          <w:shd w:val="clear" w:color="auto" w:fill="FFFFFF"/>
          <w:lang w:val="en-US" w:eastAsia="zh-CN"/>
        </w:rPr>
        <w:t>二</w:t>
      </w:r>
      <w:r>
        <w:rPr>
          <w:rFonts w:hint="eastAsia" w:ascii="仿宋_GB2312" w:hAnsi="仿宋_GB2312" w:eastAsia="仿宋_GB2312" w:cs="仿宋_GB2312"/>
          <w:b/>
          <w:bCs/>
          <w:i w:val="0"/>
          <w:caps w:val="0"/>
          <w:color w:val="auto"/>
          <w:spacing w:val="0"/>
          <w:sz w:val="32"/>
          <w:szCs w:val="32"/>
          <w:shd w:val="clear" w:color="auto" w:fill="FFFFFF"/>
          <w:lang w:eastAsia="zh-CN"/>
        </w:rPr>
        <w:t>）</w:t>
      </w:r>
      <w:r>
        <w:rPr>
          <w:rFonts w:hint="eastAsia" w:ascii="仿宋_GB2312" w:hAnsi="仿宋_GB2312" w:eastAsia="仿宋_GB2312" w:cs="仿宋_GB2312"/>
          <w:b/>
          <w:bCs/>
          <w:i w:val="0"/>
          <w:caps w:val="0"/>
          <w:color w:val="auto"/>
          <w:spacing w:val="0"/>
          <w:sz w:val="32"/>
          <w:szCs w:val="32"/>
          <w:shd w:val="clear" w:color="auto" w:fill="FFFFFF"/>
          <w:lang w:val="en-US" w:eastAsia="zh-CN"/>
        </w:rPr>
        <w:t>基本原则</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rPr>
          <w:rFonts w:hint="eastAsia" w:ascii="仿宋_GB2312" w:hAnsi="仿宋_GB2312" w:eastAsia="仿宋_GB2312" w:cs="仿宋_GB2312"/>
          <w:i w:val="0"/>
          <w:caps w:val="0"/>
          <w:color w:val="000000"/>
          <w:spacing w:val="0"/>
          <w:kern w:val="0"/>
          <w:sz w:val="32"/>
          <w:szCs w:val="32"/>
          <w:shd w:val="clear" w:color="auto" w:fill="FFFFFF"/>
          <w:lang w:val="en-US" w:eastAsia="zh-CN"/>
        </w:rPr>
      </w:pPr>
      <w:r>
        <w:rPr>
          <w:rFonts w:hint="eastAsia" w:ascii="仿宋_GB2312" w:hAnsi="仿宋_GB2312" w:eastAsia="仿宋_GB2312" w:cs="仿宋_GB2312"/>
          <w:i w:val="0"/>
          <w:caps w:val="0"/>
          <w:color w:val="000000"/>
          <w:spacing w:val="0"/>
          <w:kern w:val="0"/>
          <w:sz w:val="32"/>
          <w:szCs w:val="32"/>
          <w:shd w:val="clear" w:color="auto" w:fill="FFFFFF"/>
          <w:lang w:val="en-US" w:eastAsia="zh-CN"/>
        </w:rPr>
        <w:t>--坚持激活创新创业、激发产业跃迁。通过激活在跨境电子商务领域的创新创业，培育新型贸易方式经营主体，推动电子信息、汽车、高端装备等产业的贸易方式和终端制造产品向适应新型贸易业态跃迁。</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rPr>
          <w:rFonts w:hint="eastAsia" w:ascii="仿宋_GB2312" w:hAnsi="仿宋_GB2312" w:eastAsia="仿宋_GB2312" w:cs="仿宋_GB2312"/>
          <w:i w:val="0"/>
          <w:caps w:val="0"/>
          <w:color w:val="000000"/>
          <w:spacing w:val="0"/>
          <w:kern w:val="0"/>
          <w:sz w:val="32"/>
          <w:szCs w:val="32"/>
          <w:shd w:val="clear" w:color="auto" w:fill="FFFFFF"/>
          <w:lang w:val="en-US" w:eastAsia="zh-CN"/>
        </w:rPr>
      </w:pPr>
      <w:r>
        <w:rPr>
          <w:rFonts w:hint="eastAsia" w:ascii="仿宋_GB2312" w:hAnsi="仿宋_GB2312" w:eastAsia="仿宋_GB2312" w:cs="仿宋_GB2312"/>
          <w:i w:val="0"/>
          <w:caps w:val="0"/>
          <w:color w:val="000000"/>
          <w:spacing w:val="0"/>
          <w:kern w:val="0"/>
          <w:sz w:val="32"/>
          <w:szCs w:val="32"/>
          <w:shd w:val="clear" w:color="auto" w:fill="FFFFFF"/>
          <w:lang w:val="en-US" w:eastAsia="zh-CN"/>
        </w:rPr>
        <w:t>--坚持联动中心城市、连接国际市场。充分利用成都、西安、重庆等地的国际贸易物流通道和城市间产业、政策联动优势，发挥“调蓄”作用，扩展绵阳企业出海路径，连接国际市场。</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rPr>
          <w:rFonts w:hint="eastAsia" w:ascii="仿宋_GB2312" w:hAnsi="仿宋_GB2312" w:eastAsia="仿宋_GB2312" w:cs="仿宋_GB2312"/>
          <w:i w:val="0"/>
          <w:caps w:val="0"/>
          <w:color w:val="000000"/>
          <w:spacing w:val="0"/>
          <w:kern w:val="0"/>
          <w:sz w:val="32"/>
          <w:szCs w:val="32"/>
          <w:shd w:val="clear" w:color="auto" w:fill="FFFFFF"/>
          <w:lang w:val="en-US" w:eastAsia="zh-CN"/>
        </w:rPr>
      </w:pPr>
      <w:r>
        <w:rPr>
          <w:rFonts w:hint="eastAsia" w:ascii="仿宋_GB2312" w:hAnsi="仿宋_GB2312" w:eastAsia="仿宋_GB2312" w:cs="仿宋_GB2312"/>
          <w:i w:val="0"/>
          <w:caps w:val="0"/>
          <w:color w:val="000000"/>
          <w:spacing w:val="0"/>
          <w:kern w:val="0"/>
          <w:sz w:val="32"/>
          <w:szCs w:val="32"/>
          <w:shd w:val="clear" w:color="auto" w:fill="FFFFFF"/>
          <w:lang w:val="en-US" w:eastAsia="zh-CN"/>
        </w:rPr>
        <w:t>--坚持实践成熟经验、试点特色政策。复制推广全国各跨境电子商务综合试验区成熟发展经验，根据绵阳跨境电商发展现状、传统产业特点、未来发展趋势制定和试点特色内陆城市跨境电商出海政策。</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rPr>
          <w:rFonts w:hint="eastAsia" w:ascii="仿宋_GB2312" w:hAnsi="仿宋_GB2312" w:eastAsia="仿宋_GB2312" w:cs="仿宋_GB2312"/>
          <w:i w:val="0"/>
          <w:caps w:val="0"/>
          <w:color w:val="000000"/>
          <w:spacing w:val="0"/>
          <w:kern w:val="0"/>
          <w:sz w:val="32"/>
          <w:szCs w:val="32"/>
          <w:shd w:val="clear" w:color="auto" w:fill="FFFFFF"/>
          <w:lang w:val="en-US" w:eastAsia="zh-CN"/>
        </w:rPr>
      </w:pPr>
      <w:r>
        <w:rPr>
          <w:rFonts w:hint="eastAsia" w:ascii="仿宋_GB2312" w:hAnsi="仿宋_GB2312" w:eastAsia="仿宋_GB2312" w:cs="仿宋_GB2312"/>
          <w:i w:val="0"/>
          <w:caps w:val="0"/>
          <w:color w:val="000000"/>
          <w:spacing w:val="0"/>
          <w:kern w:val="0"/>
          <w:sz w:val="32"/>
          <w:szCs w:val="32"/>
          <w:shd w:val="clear" w:color="auto" w:fill="FFFFFF"/>
          <w:lang w:val="en-US" w:eastAsia="zh-CN"/>
        </w:rPr>
        <w:t>--坚持推动科技创新、提升转化成效。依托绵阳科技创新优势和技术成果转化平台，提升跨境电商出口企业研发设计能力，收集、分析国际市场需求，反向指导科技成果应用，提升转化成效。</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Lines="0" w:beforeAutospacing="0" w:after="0" w:afterLines="0" w:afterAutospacing="0" w:line="560" w:lineRule="exact"/>
        <w:ind w:right="0" w:firstLine="643" w:firstLineChars="200"/>
        <w:jc w:val="both"/>
        <w:textAlignment w:val="auto"/>
        <w:rPr>
          <w:rFonts w:hint="eastAsia" w:ascii="黑体" w:hAnsi="黑体" w:eastAsia="黑体" w:cs="黑体"/>
          <w:b/>
          <w:bCs/>
          <w:i w:val="0"/>
          <w:caps w:val="0"/>
          <w:color w:val="auto"/>
          <w:spacing w:val="0"/>
          <w:sz w:val="32"/>
          <w:szCs w:val="32"/>
          <w:shd w:val="clear" w:color="auto" w:fill="FFFFFF"/>
          <w:lang w:val="en-US" w:eastAsia="zh-CN"/>
        </w:rPr>
      </w:pPr>
      <w:r>
        <w:rPr>
          <w:rFonts w:hint="eastAsia" w:ascii="黑体" w:hAnsi="黑体" w:eastAsia="黑体" w:cs="黑体"/>
          <w:b/>
          <w:bCs/>
          <w:i w:val="0"/>
          <w:caps w:val="0"/>
          <w:color w:val="auto"/>
          <w:spacing w:val="0"/>
          <w:sz w:val="32"/>
          <w:szCs w:val="32"/>
          <w:shd w:val="clear" w:color="auto" w:fill="FFFFFF"/>
          <w:lang w:val="en-US" w:eastAsia="zh-CN"/>
        </w:rPr>
        <w:t>发展目标</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rPr>
          <w:rFonts w:hint="default"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i w:val="0"/>
          <w:caps w:val="0"/>
          <w:color w:val="auto"/>
          <w:spacing w:val="0"/>
          <w:kern w:val="0"/>
          <w:sz w:val="32"/>
          <w:szCs w:val="32"/>
          <w:shd w:val="clear" w:color="auto" w:fill="FFFFFF"/>
          <w:lang w:val="en-US" w:eastAsia="zh-CN"/>
        </w:rPr>
        <w:t>按照“双创激活、产业升级、联动发展”的发展思路，经过3—5年的改革试验，实现在跨境电商进口供应链业务模式、跨境电商企业对企业（B2B）出口业务模式等方面取得突破；以发展跨境电子商务创新创业为路径，培育壮大绵阳跨境电子商务经营主体和外贸进出口内生力量，构建跨境电商发展生态圈，激活绵阳各支柱产业外向型基因，形成“跨境电商+优势产业”促进发展格局；推动跨境电子商务与科技产业进一步深度融合，重点面向电子信息制造业、先进材料产业、高端装备制造业出口，支持企业开展跨境电子商务在线营销、交易、交付业务，探索形成设计生产、海外新媒体营销、出口退税、交易服务于一体的跨境电子商务政务服务体系和监管办法，促进绵阳优势产业升级；在绵阳跨境电子商务综合服务平台的原有基础上，建设绵阳跨境电商公共服务平台，并实现与成都跨境贸易电子商务公共服务平台多维度信息互联互通，扩宽绵阳跨境电子出海通道和服务资源利用范围，带动周边区域共同发展跨境电商，率先在省内建立多综试区协同机制，形成跨境电子商务联动发展区；跨境电子商务在推动产业转型升级、外贸高质量发展的作用逐渐凸显，成为西部地区跨境电子商务创新发展先行区、转型升级引领区以及高水平开放经济示范区。</w:t>
      </w:r>
    </w:p>
    <w:p>
      <w:pPr>
        <w:ind w:firstLine="640"/>
        <w:rPr>
          <w:rFonts w:hint="default"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i w:val="0"/>
          <w:caps w:val="0"/>
          <w:color w:val="auto"/>
          <w:spacing w:val="0"/>
          <w:kern w:val="0"/>
          <w:sz w:val="32"/>
          <w:szCs w:val="32"/>
          <w:shd w:val="clear" w:color="auto" w:fill="FFFFFF"/>
          <w:lang w:val="en-US" w:eastAsia="zh-CN"/>
        </w:rPr>
        <w:t>至2025年，在绵阳跨境电商公共服务平台备案企业达100家，累计引入培育300家跨境电子商务企业，发展壮大10家外贸综合服务企业，引导100家传统企业开展跨境电子商务，实现跨境电子商务进出口交易总额达10亿元。设立跨境电子商务示范园区3个，引进培养跨境电子商务专业人才1000人以上。</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黑体" w:hAnsi="黑体" w:eastAsia="黑体" w:cs="黑体"/>
          <w:b/>
          <w:bCs/>
          <w:i w:val="0"/>
          <w:caps w:val="0"/>
          <w:color w:val="auto"/>
          <w:spacing w:val="0"/>
          <w:kern w:val="0"/>
          <w:sz w:val="32"/>
          <w:szCs w:val="32"/>
          <w:shd w:val="clear" w:color="auto" w:fill="FFFFFF"/>
          <w:lang w:val="en-US" w:eastAsia="zh-CN"/>
        </w:rPr>
      </w:pPr>
      <w:r>
        <w:rPr>
          <w:rFonts w:hint="eastAsia" w:ascii="黑体" w:hAnsi="黑体" w:eastAsia="黑体" w:cs="黑体"/>
          <w:b/>
          <w:bCs/>
          <w:i w:val="0"/>
          <w:caps w:val="0"/>
          <w:color w:val="auto"/>
          <w:spacing w:val="0"/>
          <w:kern w:val="0"/>
          <w:sz w:val="32"/>
          <w:szCs w:val="32"/>
          <w:shd w:val="clear" w:color="auto" w:fill="FFFFFF"/>
          <w:lang w:val="en-US" w:eastAsia="zh-CN"/>
        </w:rPr>
        <w:t>三、实施范围</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i w:val="0"/>
          <w:caps w:val="0"/>
          <w:color w:val="auto"/>
          <w:spacing w:val="0"/>
          <w:kern w:val="0"/>
          <w:sz w:val="32"/>
          <w:szCs w:val="32"/>
          <w:shd w:val="clear" w:color="auto" w:fill="FFFFFF"/>
          <w:lang w:val="en-US" w:eastAsia="zh-CN"/>
        </w:rPr>
        <w:t>跨境电子商务综合试验区线下地理范围即绵阳市行政区域，以高新区为核心发展区，以经开区、科创区和江油市为试点先行区，以涪城区、游仙区、安州区、三台县、梓潼县、盐亭县、平武县、北川羌族自治县为试点应用区。</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i w:val="0"/>
          <w:caps w:val="0"/>
          <w:color w:val="auto"/>
          <w:spacing w:val="0"/>
          <w:kern w:val="0"/>
          <w:sz w:val="32"/>
          <w:szCs w:val="32"/>
          <w:shd w:val="clear" w:color="auto" w:fill="FFFFFF"/>
          <w:lang w:val="en-US" w:eastAsia="zh-CN"/>
        </w:rPr>
        <w:t>跨境电子商务综合试验区线上虚拟范围即“绵阳跨境电商公共服务平台”服务范围，包括平台登记注册、备案，开展跨境电子商务进出口业务和服务的各类市场主体。</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黑体" w:hAnsi="黑体" w:eastAsia="黑体" w:cs="黑体"/>
          <w:b/>
          <w:bCs/>
          <w:i w:val="0"/>
          <w:caps w:val="0"/>
          <w:color w:val="auto"/>
          <w:spacing w:val="0"/>
          <w:kern w:val="0"/>
          <w:sz w:val="32"/>
          <w:szCs w:val="32"/>
          <w:shd w:val="clear" w:color="auto" w:fill="FFFFFF"/>
          <w:lang w:val="en-US" w:eastAsia="zh-CN"/>
        </w:rPr>
        <w:t>四、主要建设任务</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b/>
          <w:bCs/>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（一）完善“两平台六体系”基础框架</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i w:val="0"/>
          <w:caps w:val="0"/>
          <w:color w:val="auto"/>
          <w:spacing w:val="0"/>
          <w:kern w:val="0"/>
          <w:sz w:val="32"/>
          <w:szCs w:val="32"/>
          <w:shd w:val="clear" w:color="auto" w:fill="FFFFFF"/>
          <w:lang w:val="en-US" w:eastAsia="zh-CN"/>
        </w:rPr>
        <w:t>核心任务是借鉴国内其他跨境电商综试区试点成果，结合绵阳实际，复制推广杭州跨境电商综试区“两平台六体系”的模式与经验，形成绵阳跨境电商综试区基础框架。</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搭建线上跨境电商公共服务平台。</w:t>
      </w:r>
      <w:r>
        <w:rPr>
          <w:rFonts w:hint="eastAsia" w:ascii="仿宋_GB2312" w:hAnsi="仿宋_GB2312" w:eastAsia="仿宋_GB2312" w:cs="仿宋_GB2312"/>
          <w:i w:val="0"/>
          <w:caps w:val="0"/>
          <w:color w:val="auto"/>
          <w:spacing w:val="0"/>
          <w:kern w:val="0"/>
          <w:sz w:val="32"/>
          <w:szCs w:val="32"/>
          <w:shd w:val="clear" w:color="auto" w:fill="FFFFFF"/>
          <w:lang w:val="en-US" w:eastAsia="zh-CN"/>
        </w:rPr>
        <w:t>优化提升绵阳市跨境电商综合服务平台原有功能，推动建设绵阳跨境电商公共服务平台，按照跨境贸易电子商务（9610）及保税跨境贸易电子商务（1210）监管要求，推进平台与海关、税务、外汇管理、公安、市场监督管理、信用部门等部门数据对接、信息共享，为跨境电商企业提供通关、出口退税申报、出口无票免征、收结汇、个人消费者身份验证等一站式在线服务，实现跨境电商企业备案管理和信用管理。推进绵阳跨境电商公共服务平台与成都市跨境电商公共服务平台对接和信息共享，提升与成都跨境电商综试区的联动能力。</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完善线下综合园区平台。</w:t>
      </w:r>
      <w:r>
        <w:rPr>
          <w:rFonts w:hint="eastAsia" w:ascii="仿宋_GB2312" w:hAnsi="仿宋_GB2312" w:eastAsia="仿宋_GB2312" w:cs="仿宋_GB2312"/>
          <w:i w:val="0"/>
          <w:caps w:val="0"/>
          <w:color w:val="auto"/>
          <w:spacing w:val="0"/>
          <w:kern w:val="0"/>
          <w:sz w:val="32"/>
          <w:szCs w:val="32"/>
          <w:shd w:val="clear" w:color="auto" w:fill="FFFFFF"/>
          <w:lang w:val="en-US" w:eastAsia="zh-CN"/>
        </w:rPr>
        <w:t>结合各区县产业基础和资源禀赋，按照差异定位、协同发展的思路，推进形成“一核、三极、多点”覆盖全市的线下综合园区平台。以高新区为综试区发展核心区，引进培育跨境电商平台、跨境电商出口零售企业和各类专业服务企业，推进各类跨境电商众创空间建设。推进经开区、科创区和江油市依托电子信息、化工、汽车及零配件、新材料等产业优势，构建综试区跨境电商产业应用增长极，形成跨境电商出口供应链基地。在涪城区、游仙区、安州区、三台县、梓潼县、盐亭县、平武县、北川羌族自治县进行多点布局，建立具有本地特色的跨境电商出口集聚区和跨境电商进口消费商圈。</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完善跨境电商信息共享体系。</w:t>
      </w:r>
      <w:r>
        <w:rPr>
          <w:rFonts w:hint="eastAsia" w:ascii="仿宋_GB2312" w:hAnsi="仿宋_GB2312" w:eastAsia="仿宋_GB2312" w:cs="仿宋_GB2312"/>
          <w:i w:val="0"/>
          <w:caps w:val="0"/>
          <w:color w:val="auto"/>
          <w:spacing w:val="0"/>
          <w:kern w:val="0"/>
          <w:sz w:val="32"/>
          <w:szCs w:val="32"/>
          <w:shd w:val="clear" w:color="auto" w:fill="FFFFFF"/>
          <w:lang w:val="en-US" w:eastAsia="zh-CN"/>
        </w:rPr>
        <w:t>通过建设绵阳跨境电商公共服务平台，统一电子商务企业、商品、订单、物流、支付、信用等信息标准规范，打通海关、税务、外汇、商务、物流、金融之间的信息交流渠道，实现监管部门、地方政府、金融机构、跨境电商企业、物流企业之间信息共享，为跨境电商信息流、资金流、货物流“三流合一”提供数据技术支撑。</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建立跨境电商物流服务体系。</w:t>
      </w:r>
      <w:r>
        <w:rPr>
          <w:rFonts w:hint="eastAsia" w:ascii="仿宋_GB2312" w:hAnsi="仿宋_GB2312" w:eastAsia="仿宋_GB2312" w:cs="仿宋_GB2312"/>
          <w:i w:val="0"/>
          <w:caps w:val="0"/>
          <w:color w:val="auto"/>
          <w:spacing w:val="0"/>
          <w:kern w:val="0"/>
          <w:sz w:val="32"/>
          <w:szCs w:val="32"/>
          <w:shd w:val="clear" w:color="auto" w:fill="FFFFFF"/>
          <w:lang w:val="en-US" w:eastAsia="zh-CN"/>
        </w:rPr>
        <w:t>利用云计算、物联网、大数据、人工智能、区块链等技术，建设互联互通的智慧物流信息系统。充分利用现有物流综合信息服务平台，为跨境电商企业、物流仓储企业、邮政快递企业、供应链服务企业等提供实时、准确的物流状态查询及仓储物流资源配置服务。整合社会化物流资源，形成布局合理、层次分明、衔接顺畅、功能齐全的跨境物流分拨配送和运营服务体系。</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建立跨境电商统计监测体系。</w:t>
      </w:r>
      <w:r>
        <w:rPr>
          <w:rFonts w:hint="eastAsia" w:ascii="仿宋_GB2312" w:hAnsi="仿宋_GB2312" w:eastAsia="仿宋_GB2312" w:cs="仿宋_GB2312"/>
          <w:i w:val="0"/>
          <w:caps w:val="0"/>
          <w:color w:val="auto"/>
          <w:spacing w:val="0"/>
          <w:kern w:val="0"/>
          <w:sz w:val="32"/>
          <w:szCs w:val="32"/>
          <w:shd w:val="clear" w:color="auto" w:fill="FFFFFF"/>
          <w:lang w:val="en-US" w:eastAsia="zh-CN"/>
        </w:rPr>
        <w:t>探索跨境电商全口径统计方法，重点解决海外仓备货等业务模式下的跨境电商统计难点，建立全面规范的统计体系。统一跨境电商交易主体信息、电子合同、电子订单等标准格式，简化跨境电子商务进出口商品的统计分类标准。利用公服平台大数据分析，对各类平台商品交易、物流通关、金融支付等数据进行汇总、处理、应用，为政府监管和企业经营提供决策支撑。</w:t>
      </w:r>
    </w:p>
    <w:p>
      <w:pPr>
        <w:pStyle w:val="2"/>
        <w:ind w:firstLine="643" w:firstLineChars="200"/>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建立跨境电商金融服务体系。</w:t>
      </w:r>
      <w:r>
        <w:rPr>
          <w:rFonts w:hint="eastAsia" w:ascii="仿宋_GB2312" w:hAnsi="仿宋_GB2312" w:eastAsia="仿宋_GB2312" w:cs="仿宋_GB2312"/>
          <w:i w:val="0"/>
          <w:caps w:val="0"/>
          <w:color w:val="auto"/>
          <w:spacing w:val="0"/>
          <w:kern w:val="0"/>
          <w:sz w:val="32"/>
          <w:szCs w:val="32"/>
          <w:shd w:val="clear" w:color="auto" w:fill="FFFFFF"/>
          <w:lang w:val="en-US" w:eastAsia="zh-CN"/>
        </w:rPr>
        <w:t>鼓励本地金融机构、龙头企业、城市产业发展基金与第三方支付机构、第三方电子商务平台、外贸综合服务企业之间开展合作，为备案的跨境电商企业提供完备便捷、风险可控的在线支付结算、融资、保险等一站式金融服务。推动绵阳跨境电商公服平台线上数据实现金融价值化，推进基于平台申报数据的进出口收付汇试点和跨境电商普惠金融产品开发，满足从事跨境电子商务的境内个人对外贸易结算需求，允许其通过个人外汇储蓄账户办理跨境电子商务外汇结算。境内个人办理跨境电子商务项下结售汇，提供有交易额的证明材料或交易电子信息的，不占用个人年度便利化额度。</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建立跨境电商信用评价体系。</w:t>
      </w:r>
      <w:r>
        <w:rPr>
          <w:rFonts w:hint="eastAsia" w:ascii="仿宋_GB2312" w:hAnsi="仿宋_GB2312" w:eastAsia="仿宋_GB2312" w:cs="仿宋_GB2312"/>
          <w:i w:val="0"/>
          <w:caps w:val="0"/>
          <w:color w:val="auto"/>
          <w:spacing w:val="0"/>
          <w:kern w:val="0"/>
          <w:sz w:val="32"/>
          <w:szCs w:val="32"/>
          <w:shd w:val="clear" w:color="auto" w:fill="FFFFFF"/>
          <w:lang w:val="en-US" w:eastAsia="zh-CN"/>
        </w:rPr>
        <w:t>整合绵阳跨境电商公共服务平台备案的跨境电商企业市场主体登记信息、信用中国公示信息、动态交易信息及消费者评价信息等数据，建立跨境电子商务信用数据库和信用评价系统，记录和积累跨境电子商务企业、平台企业、物流企业及其他综合服务企业基础数据，对接监管部门的信用认证体系和信用服务企业的信用评价体系，实现对电商信用的“分类监管、部门共享、有序公开”。</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建立跨境电商风险防控体系。</w:t>
      </w:r>
      <w:r>
        <w:rPr>
          <w:rFonts w:hint="eastAsia" w:ascii="仿宋_GB2312" w:hAnsi="仿宋_GB2312" w:eastAsia="仿宋_GB2312" w:cs="仿宋_GB2312"/>
          <w:i w:val="0"/>
          <w:caps w:val="0"/>
          <w:color w:val="auto"/>
          <w:spacing w:val="0"/>
          <w:kern w:val="0"/>
          <w:sz w:val="32"/>
          <w:szCs w:val="32"/>
          <w:shd w:val="clear" w:color="auto" w:fill="FFFFFF"/>
          <w:lang w:val="en-US" w:eastAsia="zh-CN"/>
        </w:rPr>
        <w:t>贯彻落实《中华人民共和国电子商务法》，建立风险信息采集机制、风险评估分析机制、风险预警处置机制、风险复查完善机制，有效防控综试区内非真实贸易的经济风险。建立国际市场风险预警机制，及时收集、公告国际市场潜在的贸易摩擦、合规管理、知识产权及产品安全风险，为企业安全经营提供信息支撑。</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b/>
          <w:bCs/>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（二）探索与中心城市综试区联动</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i w:val="0"/>
          <w:caps w:val="0"/>
          <w:color w:val="auto"/>
          <w:spacing w:val="0"/>
          <w:kern w:val="0"/>
          <w:sz w:val="32"/>
          <w:szCs w:val="32"/>
          <w:shd w:val="clear" w:color="auto" w:fill="FFFFFF"/>
          <w:lang w:val="en-US" w:eastAsia="zh-CN"/>
        </w:rPr>
        <w:t>核心任务是破解绵阳等内陆中小城市与毗邻的国家中心城市、区域性中心城市在线上公共服务平台信息互通、国际物流通道衔接、海关通关监管联动、海外仓储共享等方面合作的问题，通过建立健全合作机制，利用毗邻中心城市国际航线、中欧班列等优势资源，增强绵阳等内陆城市与跨境电商国际市场物流通达度，优化跨境电商区域产业布局和资源利用率，形成共同发展格局。</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线上公共服务平台互联。</w:t>
      </w:r>
      <w:r>
        <w:rPr>
          <w:rFonts w:hint="eastAsia" w:ascii="仿宋_GB2312" w:hAnsi="仿宋_GB2312" w:eastAsia="仿宋_GB2312" w:cs="仿宋_GB2312"/>
          <w:i w:val="0"/>
          <w:caps w:val="0"/>
          <w:color w:val="auto"/>
          <w:spacing w:val="0"/>
          <w:kern w:val="0"/>
          <w:sz w:val="32"/>
          <w:szCs w:val="32"/>
          <w:shd w:val="clear" w:color="auto" w:fill="FFFFFF"/>
          <w:lang w:val="en-US" w:eastAsia="zh-CN"/>
        </w:rPr>
        <w:t>以“成都跨境贸易电商公共服务平台”和“绵阳跨境电商公共服务平台”为基础，探索两地平台企业备案信息互联互通、便利两地跨境电商企业“一次备案、两地互通、异地办理”，增加企业运营灵活性。</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创新海关通关监管互通。</w:t>
      </w:r>
      <w:r>
        <w:rPr>
          <w:rFonts w:hint="eastAsia" w:ascii="仿宋_GB2312" w:hAnsi="仿宋_GB2312" w:eastAsia="仿宋_GB2312" w:cs="仿宋_GB2312"/>
          <w:i w:val="0"/>
          <w:caps w:val="0"/>
          <w:color w:val="auto"/>
          <w:spacing w:val="0"/>
          <w:kern w:val="0"/>
          <w:sz w:val="32"/>
          <w:szCs w:val="32"/>
          <w:shd w:val="clear" w:color="auto" w:fill="FFFFFF"/>
          <w:lang w:val="en-US" w:eastAsia="zh-CN"/>
        </w:rPr>
        <w:t>结合绵阳市跨境电商监管人员、场所、设备现状，分阶段建立跨境电子商务监管体系，逐步健全直购进口、一般出口监管机制,建立网购保税进口、特殊区域出口监管机制，创新面向电子信息、汽车、高端装备等特色领域的B2B跨境电商出口监管模式，支持传统企业转型和跨境电商企业新型贸易模式创新。</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仓储物流及服务资源共享。</w:t>
      </w:r>
      <w:r>
        <w:rPr>
          <w:rFonts w:hint="eastAsia" w:ascii="仿宋_GB2312" w:hAnsi="仿宋_GB2312" w:eastAsia="仿宋_GB2312" w:cs="仿宋_GB2312"/>
          <w:i w:val="0"/>
          <w:caps w:val="0"/>
          <w:color w:val="auto"/>
          <w:spacing w:val="0"/>
          <w:kern w:val="0"/>
          <w:sz w:val="32"/>
          <w:szCs w:val="32"/>
          <w:shd w:val="clear" w:color="auto" w:fill="FFFFFF"/>
          <w:lang w:val="en-US" w:eastAsia="zh-CN"/>
        </w:rPr>
        <w:t>根据绵阳市跨境电子商务发展现状，鼓励有条件企业自建或租赁跨境电商海外仓，第一阶段探索与成都及省内其他城市建立海外仓共享机制，为绵阳市跨境电商企业提供多元化国际物流及海外仓服务，形成以省为单位、覆盖全球主要跨境电子商务市场的共享海外仓网络。</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b/>
          <w:bCs/>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（三）驱动科技转化和制造业创新</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i w:val="0"/>
          <w:caps w:val="0"/>
          <w:color w:val="auto"/>
          <w:spacing w:val="0"/>
          <w:kern w:val="0"/>
          <w:sz w:val="32"/>
          <w:szCs w:val="32"/>
          <w:shd w:val="clear" w:color="auto" w:fill="FFFFFF"/>
          <w:lang w:val="en-US" w:eastAsia="zh-CN"/>
        </w:rPr>
        <w:t>核心任务是充分发挥绵阳在电子信息、汽车、高端装备、新材料等领域的技术积累和生产配套能力，通过跨境电子商务衔接海外市场，将绵阳现有支柱产业的技术优势、制造优势、配套优势转化成为对跨境电子商务市场的中高端产品供应链优势、国际品牌打造优势，通过打造高质高价产品供应链基地和中高端跨境电商品牌集聚地，消抵绵阳在国际物流成本等方面劣势，形成与东南沿海城市差异化发展格局。</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打造跨境电商内陆供应链基地。</w:t>
      </w:r>
      <w:r>
        <w:rPr>
          <w:rFonts w:hint="eastAsia" w:ascii="仿宋_GB2312" w:hAnsi="仿宋_GB2312" w:eastAsia="仿宋_GB2312" w:cs="仿宋_GB2312"/>
          <w:i w:val="0"/>
          <w:caps w:val="0"/>
          <w:color w:val="auto"/>
          <w:spacing w:val="0"/>
          <w:kern w:val="0"/>
          <w:sz w:val="32"/>
          <w:szCs w:val="32"/>
          <w:shd w:val="clear" w:color="auto" w:fill="FFFFFF"/>
          <w:lang w:val="en-US" w:eastAsia="zh-CN"/>
        </w:rPr>
        <w:t>充分利用绵阳先进制造能力，推动长虹、京东方、惠科等企业生产线柔性化改造，与国内知名的跨境电商品牌、跨境电商自营类平台开展战略合作，打造跨境电商内陆供应链基地。强化跨境电商数据对企业产业创新的支撑，应用大数据分析，分类指导电子信息、汽车及零配件、新材料等优势产业产品创新，提升绵阳制造企业国际市场产品供应能力。</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开辟“绵阳造”出海新通路。</w:t>
      </w:r>
      <w:r>
        <w:rPr>
          <w:rFonts w:hint="eastAsia" w:ascii="仿宋_GB2312" w:hAnsi="仿宋_GB2312" w:eastAsia="仿宋_GB2312" w:cs="仿宋_GB2312"/>
          <w:i w:val="0"/>
          <w:caps w:val="0"/>
          <w:color w:val="auto"/>
          <w:spacing w:val="0"/>
          <w:kern w:val="0"/>
          <w:sz w:val="32"/>
          <w:szCs w:val="32"/>
          <w:shd w:val="clear" w:color="auto" w:fill="FFFFFF"/>
          <w:lang w:val="en-US" w:eastAsia="zh-CN"/>
        </w:rPr>
        <w:t>引导绵阳传统外贸企业、制造企业、电子商务企业通过第三方平台或自建平台上线经营，通过外贸营销模式的创新来扩大外贸增量渠道、减少中间环节、降低企业成本。积极对接“川货天下行”平台，借助平台上的供应链资源、跨境电商服务资源以及平台上的卖家能力，通过异地协同建立完善的跨境电商出口产业链。引进培育契合绵阳优势产业的B2B出口平台，支持绵阳企业进出口联盟在印尼、澳大利亚、巴基斯坦等国家建立海外展示中心，线上线下协同打通绵阳与“一带一路”国家产业连接。</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释放科技优势培育自主品牌。</w:t>
      </w:r>
      <w:r>
        <w:rPr>
          <w:rFonts w:hint="eastAsia" w:ascii="仿宋_GB2312" w:hAnsi="仿宋_GB2312" w:eastAsia="仿宋_GB2312" w:cs="仿宋_GB2312"/>
          <w:i w:val="0"/>
          <w:caps w:val="0"/>
          <w:color w:val="auto"/>
          <w:spacing w:val="0"/>
          <w:kern w:val="0"/>
          <w:sz w:val="32"/>
          <w:szCs w:val="32"/>
          <w:shd w:val="clear" w:color="auto" w:fill="FFFFFF"/>
          <w:lang w:val="en-US" w:eastAsia="zh-CN"/>
        </w:rPr>
        <w:t>发挥绵阳科技城创新能力，鼓励科技企业结合国际市场需求进行技术转化，增强绵阳制造产品的外向性。支持跨境电子商务企业与智能制造企业联动，在电子元器件、新材料产品领域，探索工业品领域跨境电商定制化生产模式。加大“绵阳造”品牌出海扶持力度，统一“绵阳造”品牌、标准和服务，强化品牌公共服务支撑。</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b/>
          <w:bCs/>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（四）构建双创生态集聚跨境人才</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i w:val="0"/>
          <w:caps w:val="0"/>
          <w:color w:val="auto"/>
          <w:spacing w:val="0"/>
          <w:kern w:val="0"/>
          <w:sz w:val="32"/>
          <w:szCs w:val="32"/>
          <w:shd w:val="clear" w:color="auto" w:fill="FFFFFF"/>
          <w:lang w:val="en-US" w:eastAsia="zh-CN"/>
        </w:rPr>
        <w:t>核心任务是依托绵阳跨境电子商务孵化器和培训服务机构，支持跨境电子商务领域的创新创业，联合高校、社会培训机构不断为绵阳培养跨境电子商务基础运营人才，提高创业者经营水平，增加跨境电子商务就业岗位，吸引跨境电商人才回流，持续壮大绵阳跨境电子商务从业人群，以激活跨境电子商务创新创业为路径，向绵阳传统优势产业植入新型外贸基因，增强绵阳企业外向性。</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建立跨境电商双创良性生态。</w:t>
      </w:r>
      <w:r>
        <w:rPr>
          <w:rFonts w:hint="eastAsia" w:ascii="仿宋_GB2312" w:hAnsi="仿宋_GB2312" w:eastAsia="仿宋_GB2312" w:cs="仿宋_GB2312"/>
          <w:i w:val="0"/>
          <w:caps w:val="0"/>
          <w:color w:val="auto"/>
          <w:spacing w:val="0"/>
          <w:kern w:val="0"/>
          <w:sz w:val="32"/>
          <w:szCs w:val="32"/>
          <w:shd w:val="clear" w:color="auto" w:fill="FFFFFF"/>
          <w:lang w:val="en-US" w:eastAsia="zh-CN"/>
        </w:rPr>
        <w:t>加大对跨境电子商务中小卖家孵化培育，巩固和壮大绵阳跨境电子商务中小卖家群体，支持跨境电商企业与智能制造企业合作对接，形成“跨境电子商务+智能制造”相互促进发展格局。支持传统企业利用跨境电子商务开展二次创业，通过跨境电子商务等新兴贸易方式创建国际品牌，推动智能制造出海。</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制订跨境人才引进培育办法。</w:t>
      </w:r>
      <w:r>
        <w:rPr>
          <w:rFonts w:hint="eastAsia" w:ascii="仿宋_GB2312" w:hAnsi="仿宋_GB2312" w:eastAsia="仿宋_GB2312" w:cs="仿宋_GB2312"/>
          <w:i w:val="0"/>
          <w:caps w:val="0"/>
          <w:color w:val="auto"/>
          <w:spacing w:val="0"/>
          <w:kern w:val="0"/>
          <w:sz w:val="32"/>
          <w:szCs w:val="32"/>
          <w:shd w:val="clear" w:color="auto" w:fill="FFFFFF"/>
          <w:lang w:val="en-US" w:eastAsia="zh-CN"/>
        </w:rPr>
        <w:t>制定跨境电子商务人才政策，降低企业员工自主培训成本，缓解跨境电子商务专业人才短缺问题。积极组织全国性跨境电子商务创业及产业交流活动，在绵阳形成浓重的跨境电子商务创业氛围，激活本地创业就业人才，引导外地电子商务精英回绵阳发展，吸引更多省外及周边城市精英人才来绵阳创业。</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黑体" w:hAnsi="黑体" w:eastAsia="黑体" w:cs="黑体"/>
          <w:b/>
          <w:bCs/>
          <w:i w:val="0"/>
          <w:caps w:val="0"/>
          <w:color w:val="auto"/>
          <w:spacing w:val="0"/>
          <w:kern w:val="0"/>
          <w:sz w:val="32"/>
          <w:szCs w:val="32"/>
          <w:shd w:val="clear" w:color="auto" w:fill="FFFFFF"/>
          <w:lang w:val="en-US" w:eastAsia="zh-CN"/>
        </w:rPr>
      </w:pPr>
      <w:r>
        <w:rPr>
          <w:rFonts w:hint="eastAsia" w:ascii="黑体" w:hAnsi="黑体" w:eastAsia="黑体" w:cs="黑体"/>
          <w:b/>
          <w:bCs/>
          <w:i w:val="0"/>
          <w:caps w:val="0"/>
          <w:color w:val="auto"/>
          <w:spacing w:val="0"/>
          <w:kern w:val="0"/>
          <w:sz w:val="32"/>
          <w:szCs w:val="32"/>
          <w:shd w:val="clear" w:color="auto" w:fill="FFFFFF"/>
          <w:lang w:val="en-US" w:eastAsia="zh-CN"/>
        </w:rPr>
        <w:t>五、主要创新举措</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b/>
          <w:bCs/>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（一）实施跨境电子商务双创工程</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分类实施跨境电商主体孵化。</w:t>
      </w:r>
      <w:r>
        <w:rPr>
          <w:rFonts w:hint="eastAsia" w:ascii="仿宋_GB2312" w:hAnsi="仿宋_GB2312" w:eastAsia="仿宋_GB2312" w:cs="仿宋_GB2312"/>
          <w:i w:val="0"/>
          <w:caps w:val="0"/>
          <w:color w:val="auto"/>
          <w:spacing w:val="0"/>
          <w:kern w:val="0"/>
          <w:sz w:val="32"/>
          <w:szCs w:val="32"/>
          <w:shd w:val="clear" w:color="auto" w:fill="FFFFFF"/>
          <w:lang w:val="en-US" w:eastAsia="zh-CN"/>
        </w:rPr>
        <w:t>推动绵阳孵化器、培训服务机构与跨境电商平台、社会化培训机构、国内知名的跨境电商孵化器合作，打造跨境电子商务全方位、一站式的服务创业链，针对绵阳制造企业、传统外贸企业、国内电商企业和社会化创业群体，分类指导创新创业。整合跨境电商供应链、仓储物流、支付结算、海外营销、数据服务等资源，在跨境电商孵化的基础上实现可靠的资源配套。加强绵阳科技成果转化引导，针对有国际市场前景的技术成果，为其搭建快速、高效、可靠的跨境电商出海通路。</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创新跨境电商品牌培育模式。</w:t>
      </w:r>
      <w:r>
        <w:rPr>
          <w:rFonts w:hint="eastAsia" w:ascii="仿宋_GB2312" w:hAnsi="仿宋_GB2312" w:eastAsia="仿宋_GB2312" w:cs="仿宋_GB2312"/>
          <w:i w:val="0"/>
          <w:caps w:val="0"/>
          <w:color w:val="auto"/>
          <w:spacing w:val="0"/>
          <w:kern w:val="0"/>
          <w:sz w:val="32"/>
          <w:szCs w:val="32"/>
          <w:shd w:val="clear" w:color="auto" w:fill="FFFFFF"/>
          <w:lang w:val="en-US" w:eastAsia="zh-CN"/>
        </w:rPr>
        <w:t>构建“绵阳造”公共品牌与企业品牌联动的跨境电商品牌培育模式。依托“绵阳造”公共品牌，提供品牌背书、标准规范和公共服务，降低企业自主培育品牌成本。支持企业注册或收购国际企业，依托跨境电商选品能力和海外用户需求感知，与绵阳制造企业合作，培育企业自主品牌。</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推进跨境电商人才联动培养。</w:t>
      </w:r>
      <w:r>
        <w:rPr>
          <w:rFonts w:hint="eastAsia" w:ascii="仿宋_GB2312" w:hAnsi="仿宋_GB2312" w:eastAsia="仿宋_GB2312" w:cs="仿宋_GB2312"/>
          <w:i w:val="0"/>
          <w:caps w:val="0"/>
          <w:color w:val="auto"/>
          <w:spacing w:val="0"/>
          <w:kern w:val="0"/>
          <w:sz w:val="32"/>
          <w:szCs w:val="32"/>
          <w:shd w:val="clear" w:color="auto" w:fill="FFFFFF"/>
          <w:lang w:val="en-US" w:eastAsia="zh-CN"/>
        </w:rPr>
        <w:t>继续支持绵阳全日制本科、专科院校开设跨境电商专业，支持相关院校与麦迪、阿拉丁等跨境电商孵化器合作，建立“理论+实操”的跨境电商人才培育模式。推进绵阳高校与成都及国内其他跨境电商领先城市园区、企业合作，拓宽人才视野。制订符合跨境电商企业特征的人才认定、管理办法，使跨境电商高等人才、专业人才与其他类型人才享受同等政策扶持。</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b/>
          <w:bCs/>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（二）实施优势产业与跨境电商融合工程</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培育电子信息产业跨境生态。</w:t>
      </w:r>
      <w:r>
        <w:rPr>
          <w:rFonts w:hint="eastAsia" w:ascii="仿宋_GB2312" w:hAnsi="仿宋_GB2312" w:eastAsia="仿宋_GB2312" w:cs="仿宋_GB2312"/>
          <w:i w:val="0"/>
          <w:caps w:val="0"/>
          <w:color w:val="auto"/>
          <w:spacing w:val="0"/>
          <w:kern w:val="0"/>
          <w:sz w:val="32"/>
          <w:szCs w:val="32"/>
          <w:shd w:val="clear" w:color="auto" w:fill="FFFFFF"/>
          <w:lang w:val="en-US" w:eastAsia="zh-CN"/>
        </w:rPr>
        <w:t>抢抓绵阳电子信息产业优势和“一带一路”国家供不应求的市场机遇期，引进和培育电子信息领域专业跨境电商平台，牵头建立电子信息产业跨境电商产品标准、认证体系、交易规则和服务规范。鼓励智慧家庭、网络通讯、新型显示、新型元器件、集成电路类企业探索网络定制模式，依托产品和技术优势面向国际市场输出成套解决方案。支持绵阳企业建立电子信息产品跨境电商检测中心、封装中心和仓储物流中心，提升电子信息产业国际供应链服务能力。探索电子元器件、集成电路等专业产品零售化，通过与国际知名的技术社区、发烧友社群合作，拓展电子信息产品高端零售市场。</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拓展汽车及零配件出海渠道。</w:t>
      </w:r>
      <w:r>
        <w:rPr>
          <w:rFonts w:hint="eastAsia" w:ascii="仿宋_GB2312" w:hAnsi="仿宋_GB2312" w:eastAsia="仿宋_GB2312" w:cs="仿宋_GB2312"/>
          <w:i w:val="0"/>
          <w:caps w:val="0"/>
          <w:color w:val="auto"/>
          <w:spacing w:val="0"/>
          <w:kern w:val="0"/>
          <w:sz w:val="32"/>
          <w:szCs w:val="32"/>
          <w:shd w:val="clear" w:color="auto" w:fill="FFFFFF"/>
          <w:lang w:val="en-US" w:eastAsia="zh-CN"/>
        </w:rPr>
        <w:t>积极与阿里巴巴国际站、亿贝、亚马逊、敦煌网等平台对接合作，鼓励经营汽车零配件企业或个人利用第三方平台开展跨境电子商务。引导传统汽车零配件制造企业转变经营理念、创新产品，重点拓展汽车装饰件、汽车改造件等跨境电商热点品类。支持重汽集团专用车出口平台建设，打造集整车出口、配件商城、配件防伪、物流配送、技术支持、售后服务于一体的专业平台。</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打造新材料跨境电商出口基地。</w:t>
      </w:r>
      <w:r>
        <w:rPr>
          <w:rFonts w:hint="eastAsia" w:ascii="仿宋_GB2312" w:hAnsi="仿宋_GB2312" w:eastAsia="仿宋_GB2312" w:cs="仿宋_GB2312"/>
          <w:i w:val="0"/>
          <w:caps w:val="0"/>
          <w:color w:val="auto"/>
          <w:spacing w:val="0"/>
          <w:kern w:val="0"/>
          <w:sz w:val="32"/>
          <w:szCs w:val="32"/>
          <w:shd w:val="clear" w:color="auto" w:fill="FFFFFF"/>
          <w:lang w:val="en-US" w:eastAsia="zh-CN"/>
        </w:rPr>
        <w:t>以高品质特种钢铁材料、磁性材料、新型膜材料、功能玻璃和新型光学材料、前沿功能材料和新型建筑材料六大类产品为重点，依托龙头企业建立新材料跨境电商出口基地，支持特钢联盟等产业合作组织带动相关企业主动走出去拓展“一带一路”市场。支持有实力的企业探索以跨境电商平台接收全球订单、智能工厂高效生产、跨境物流供应链按约送达的全球互联网工厂模式。</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b/>
          <w:bCs/>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（三）实施国际物流联动协作工程</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以口岸协作打通航空物流。</w:t>
      </w:r>
      <w:r>
        <w:rPr>
          <w:rFonts w:hint="eastAsia" w:ascii="仿宋_GB2312" w:hAnsi="仿宋_GB2312" w:eastAsia="仿宋_GB2312" w:cs="仿宋_GB2312"/>
          <w:i w:val="0"/>
          <w:caps w:val="0"/>
          <w:color w:val="auto"/>
          <w:spacing w:val="0"/>
          <w:kern w:val="0"/>
          <w:sz w:val="32"/>
          <w:szCs w:val="32"/>
          <w:shd w:val="clear" w:color="auto" w:fill="FFFFFF"/>
          <w:lang w:val="en-US" w:eastAsia="zh-CN"/>
        </w:rPr>
        <w:t>推进与中外运、顺丰、菜鸟、4PX等跨境电商物流企业合作，依托跨境电商物流企业资源能力，打通跨境电商企业航空物流通路。加强综试区与成都、重庆、昆明、贵阳、南宁等国家一类航空进出口口岸协作，提升综试区与航空口岸间处理效率。支持绵阳机场开通国际航线，远期探索与国际友好城市、主要出口目的国开通货运专线。</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推进中欧班列直连海外仓。</w:t>
      </w:r>
      <w:r>
        <w:rPr>
          <w:rFonts w:hint="eastAsia" w:ascii="仿宋_GB2312" w:hAnsi="仿宋_GB2312" w:eastAsia="仿宋_GB2312" w:cs="仿宋_GB2312"/>
          <w:i w:val="0"/>
          <w:caps w:val="0"/>
          <w:color w:val="auto"/>
          <w:spacing w:val="0"/>
          <w:kern w:val="0"/>
          <w:sz w:val="32"/>
          <w:szCs w:val="32"/>
          <w:shd w:val="clear" w:color="auto" w:fill="FFFFFF"/>
          <w:lang w:val="en-US" w:eastAsia="zh-CN"/>
        </w:rPr>
        <w:t>积极推进老火车货站的搬迁升级和功能完善相关工作，打造中欧班列（蓉欧快铁）绵阳口岸。与物流企业合作加速落实集装箱业务，组织华东、华南、华北及川北外贸企业，通过班列将IT产品、汽车零配件、家电产品、服装鞋帽、工业品、日用品等货物运往欧洲，依托中欧班列建立绵阳直连欧洲海外仓的跨境电商海外备货模式。</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提升国内段物流多式联运效率。</w:t>
      </w:r>
      <w:r>
        <w:rPr>
          <w:rFonts w:hint="eastAsia" w:ascii="仿宋_GB2312" w:hAnsi="仿宋_GB2312" w:eastAsia="仿宋_GB2312" w:cs="仿宋_GB2312"/>
          <w:i w:val="0"/>
          <w:caps w:val="0"/>
          <w:color w:val="auto"/>
          <w:spacing w:val="0"/>
          <w:kern w:val="0"/>
          <w:sz w:val="32"/>
          <w:szCs w:val="32"/>
          <w:shd w:val="clear" w:color="auto" w:fill="FFFFFF"/>
          <w:lang w:val="en-US" w:eastAsia="zh-CN"/>
        </w:rPr>
        <w:t>支持绵阳物流企业、无车承运企业提供无缝化、信息化、专业化的多式联运服务，充分利用交通组织优势，提升绵阳至国内公路口岸、铁路口岸、水运口岸和航空口岸的物流时效。重点打通绵阳与西南沿海地区进出口口岸、新疆进出口口岸物流连接，接入国际物流西南大通道、中欧大通道。</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b/>
          <w:bCs/>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（四）创新税收与统计监测体系</w:t>
      </w:r>
    </w:p>
    <w:p>
      <w:pPr>
        <w:pStyle w:val="2"/>
        <w:ind w:firstLine="643" w:firstLineChars="200"/>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创新跨境电商企业所得税征收办法。</w:t>
      </w:r>
      <w:r>
        <w:rPr>
          <w:rFonts w:hint="eastAsia" w:ascii="仿宋_GB2312" w:hAnsi="仿宋_GB2312" w:eastAsia="仿宋_GB2312" w:cs="仿宋_GB2312"/>
          <w:i w:val="0"/>
          <w:caps w:val="0"/>
          <w:color w:val="auto"/>
          <w:spacing w:val="0"/>
          <w:kern w:val="0"/>
          <w:sz w:val="32"/>
          <w:szCs w:val="32"/>
          <w:shd w:val="clear" w:color="auto" w:fill="FFFFFF"/>
          <w:lang w:val="en-US" w:eastAsia="zh-CN"/>
        </w:rPr>
        <w:t>依托‘绵阳跨境电商公共服务平台’和高新区跨境电子商务园区，第一阶段面向平台内备案且在园区入驻的企业，对符合条件的跨境电子商务企业按相关政策规定进行企业所得税核定征收，对符合条件的出口企业，实行增值税、消费税出口退（免）税或出口免税政策。第二阶段打通税务、外管、海关三方数据链，还原跨境电子商务“零售出口（9610）”真实贸易流程，引导企业阳光报关，方便企业结汇和纳税申报。</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创新跨境电商统计监测办法。</w:t>
      </w:r>
      <w:r>
        <w:rPr>
          <w:rFonts w:hint="eastAsia" w:ascii="仿宋_GB2312" w:hAnsi="仿宋_GB2312" w:eastAsia="仿宋_GB2312" w:cs="仿宋_GB2312"/>
          <w:i w:val="0"/>
          <w:caps w:val="0"/>
          <w:color w:val="auto"/>
          <w:spacing w:val="0"/>
          <w:kern w:val="0"/>
          <w:sz w:val="32"/>
          <w:szCs w:val="32"/>
          <w:shd w:val="clear" w:color="auto" w:fill="FFFFFF"/>
          <w:lang w:val="en-US" w:eastAsia="zh-CN"/>
        </w:rPr>
        <w:t>参照现行海关贸易统计指标体系，完善出口邮件申报信息，实行跨境电商出口邮快件纳入海关贸易统计。探索以B2B2C模式出口的跨境电商海外仓备货货物进行区分并列入跨境电子商务统计，便于对跨境电子商务企业进行数据监管和相应政策支持。</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b/>
          <w:bCs/>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（五）创新联动监管体系</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创新“成绵”联动监管办法。</w:t>
      </w:r>
      <w:r>
        <w:rPr>
          <w:rFonts w:hint="eastAsia" w:ascii="仿宋_GB2312" w:hAnsi="仿宋_GB2312" w:eastAsia="仿宋_GB2312" w:cs="仿宋_GB2312"/>
          <w:i w:val="0"/>
          <w:caps w:val="0"/>
          <w:color w:val="auto"/>
          <w:spacing w:val="0"/>
          <w:kern w:val="0"/>
          <w:sz w:val="32"/>
          <w:szCs w:val="32"/>
          <w:shd w:val="clear" w:color="auto" w:fill="FFFFFF"/>
          <w:lang w:val="en-US" w:eastAsia="zh-CN"/>
        </w:rPr>
        <w:t>依托绵阳综合保税区，开展“特殊区域出口”和“网购保税进口”业务，增强与成都双流国际机场、青白江铁路口岸等的双向监管运输能力，降低绵阳企业驳接国际航线和中欧班列的物流成本。</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创新监管数据共享办法。</w:t>
      </w:r>
      <w:r>
        <w:rPr>
          <w:rFonts w:hint="eastAsia" w:ascii="仿宋_GB2312" w:hAnsi="仿宋_GB2312" w:eastAsia="仿宋_GB2312" w:cs="仿宋_GB2312"/>
          <w:i w:val="0"/>
          <w:caps w:val="0"/>
          <w:color w:val="auto"/>
          <w:spacing w:val="0"/>
          <w:kern w:val="0"/>
          <w:sz w:val="32"/>
          <w:szCs w:val="32"/>
          <w:shd w:val="clear" w:color="auto" w:fill="FFFFFF"/>
          <w:lang w:val="en-US" w:eastAsia="zh-CN"/>
        </w:rPr>
        <w:t>打通“成都跨境贸易电商公共服务平台”与“绵阳跨境电商公共服务平台”企业备案信息库，实现“一次备案、两地互通、异地办理”。共享平台内海外仓、综合供应链服务商、物流服务商等服务资源信息，建立两地资源共享结算机制，扩大两地企业服务资源丰富度。</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b/>
          <w:bCs/>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（六）创新跨境电子商务政策激活体系</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激活跨境电商创新创业。</w:t>
      </w:r>
      <w:r>
        <w:rPr>
          <w:rFonts w:hint="eastAsia" w:ascii="仿宋_GB2312" w:hAnsi="仿宋_GB2312" w:eastAsia="仿宋_GB2312" w:cs="仿宋_GB2312"/>
          <w:i w:val="0"/>
          <w:caps w:val="0"/>
          <w:color w:val="auto"/>
          <w:spacing w:val="0"/>
          <w:kern w:val="0"/>
          <w:sz w:val="32"/>
          <w:szCs w:val="32"/>
          <w:shd w:val="clear" w:color="auto" w:fill="FFFFFF"/>
          <w:lang w:val="en-US" w:eastAsia="zh-CN"/>
        </w:rPr>
        <w:t>以高新区跨境电子商务园区为核心，面向园区内中小经营主体、拥有跨境电子商务自主品牌的企业和利用跨境电子商务渠道开展跨境出口业务的企业提供免费办公场地、免费中转仓储，并纳入跨境电子商务资金扶持政策范围。</w:t>
      </w:r>
    </w:p>
    <w:p>
      <w:pPr>
        <w:pStyle w:val="2"/>
        <w:ind w:firstLine="643" w:firstLineChars="200"/>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激励传统外贸企业转型。</w:t>
      </w:r>
      <w:r>
        <w:rPr>
          <w:rFonts w:hint="eastAsia" w:ascii="仿宋_GB2312" w:hAnsi="仿宋_GB2312" w:eastAsia="仿宋_GB2312" w:cs="仿宋_GB2312"/>
          <w:i w:val="0"/>
          <w:caps w:val="0"/>
          <w:color w:val="auto"/>
          <w:spacing w:val="0"/>
          <w:kern w:val="0"/>
          <w:sz w:val="32"/>
          <w:szCs w:val="32"/>
          <w:shd w:val="clear" w:color="auto" w:fill="FFFFFF"/>
          <w:lang w:val="en-US" w:eastAsia="zh-CN"/>
        </w:rPr>
        <w:t>帮助传统外贸企业、制造企业对接跨境电子商务平台，引入跨境电子商务平台开店、运营、培训等基础服务，降低传统企业转型跨境电子商务门槛。支持电子元器件、电子消费品等贸易企业开展B2B跨境电子商务模式创新，引进B2B外贸交易综合服务商，入区企业按现行税收政策享受税收优惠，降低中小企业B2B出口门槛和清关成本。</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推动优势产业升级。</w:t>
      </w:r>
      <w:r>
        <w:rPr>
          <w:rFonts w:hint="eastAsia" w:ascii="仿宋_GB2312" w:hAnsi="仿宋_GB2312" w:eastAsia="仿宋_GB2312" w:cs="仿宋_GB2312"/>
          <w:i w:val="0"/>
          <w:caps w:val="0"/>
          <w:color w:val="auto"/>
          <w:spacing w:val="0"/>
          <w:kern w:val="0"/>
          <w:sz w:val="32"/>
          <w:szCs w:val="32"/>
          <w:shd w:val="clear" w:color="auto" w:fill="FFFFFF"/>
          <w:lang w:val="en-US" w:eastAsia="zh-CN"/>
        </w:rPr>
        <w:t>引导智能制造企业提升柔性供应链能力，面向绵阳跨境电子商务企业需求和市场反馈设计生产跨境电子商务中高端消费产品和工业品，推动绵阳优势产业升级，满足欧美及中东、东南亚等“一带一路”国家市场需求，形成中高端跨境电商商品设计、生产、销售促进发展格局。</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黑体" w:hAnsi="黑体" w:eastAsia="黑体" w:cs="黑体"/>
          <w:b/>
          <w:bCs/>
          <w:i w:val="0"/>
          <w:caps w:val="0"/>
          <w:color w:val="auto"/>
          <w:spacing w:val="0"/>
          <w:kern w:val="0"/>
          <w:sz w:val="32"/>
          <w:szCs w:val="32"/>
          <w:shd w:val="clear" w:color="auto" w:fill="FFFFFF"/>
          <w:lang w:val="en-US" w:eastAsia="zh-CN"/>
        </w:rPr>
        <w:t>六、保障措施</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b/>
          <w:bCs/>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（一）加强组织领导</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i w:val="0"/>
          <w:caps w:val="0"/>
          <w:color w:val="auto"/>
          <w:spacing w:val="0"/>
          <w:kern w:val="0"/>
          <w:sz w:val="32"/>
          <w:szCs w:val="32"/>
          <w:shd w:val="clear" w:color="auto" w:fill="FFFFFF"/>
          <w:lang w:val="en-US" w:eastAsia="zh-CN"/>
        </w:rPr>
        <w:t>成立绵阳市跨境电商综试区工作领导小组，加强统筹协调，下设办公室，负责落实推进。组建绵阳市跨境电商综试区专家咨询委员会，加强研究指导，针对综试区建设中的困难和问题，形成定期研究机制，协调推进综试区重大工作，扎实推进综试区创新发展。重大问题及时请示报告，重要政策和重大建设项目按规定程序报批。</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b/>
          <w:bCs/>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（二）落实部门责任</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i w:val="0"/>
          <w:caps w:val="0"/>
          <w:color w:val="auto"/>
          <w:spacing w:val="0"/>
          <w:kern w:val="0"/>
          <w:sz w:val="32"/>
          <w:szCs w:val="32"/>
          <w:shd w:val="clear" w:color="auto" w:fill="FFFFFF"/>
          <w:lang w:val="en-US" w:eastAsia="zh-CN"/>
        </w:rPr>
        <w:t>市级各有关部门和单位进一步细化工作任务，制定绵阳综试区建设责任清单，明确分工、落实责任、加强考核、合力推进。认真研究绵阳综试区与成都综试区联动发展中的具体问题，创新举措，力争综试区早出成效，在全省、全国形成示范效应。</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b/>
          <w:bCs/>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（三）支持资金保障</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i w:val="0"/>
          <w:caps w:val="0"/>
          <w:color w:val="auto"/>
          <w:spacing w:val="0"/>
          <w:kern w:val="0"/>
          <w:sz w:val="32"/>
          <w:szCs w:val="32"/>
          <w:shd w:val="clear" w:color="auto" w:fill="FFFFFF"/>
          <w:lang w:val="en-US" w:eastAsia="zh-CN"/>
        </w:rPr>
        <w:t>统筹全市外经贸发展资金，加大对绵阳综试区建设和创新的定向支持力度，研究设立绵阳综试区专项引导资金。吸引社会资本参与绵阳综试区软硬件基础设施建设及跨境电子商务企业融资孵化。</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rPr>
          <w:rFonts w:hint="eastAsia" w:ascii="仿宋_GB2312" w:hAnsi="仿宋_GB2312" w:eastAsia="仿宋_GB2312" w:cs="仿宋_GB2312"/>
          <w:b/>
          <w:bCs/>
          <w:i w:val="0"/>
          <w:caps w:val="0"/>
          <w:color w:val="auto"/>
          <w:spacing w:val="0"/>
          <w:kern w:val="0"/>
          <w:sz w:val="32"/>
          <w:szCs w:val="32"/>
          <w:shd w:val="clear" w:color="auto" w:fill="FFFFFF"/>
          <w:lang w:val="en-US" w:eastAsia="zh-CN"/>
        </w:rPr>
      </w:pPr>
      <w:r>
        <w:rPr>
          <w:rFonts w:hint="eastAsia" w:ascii="仿宋_GB2312" w:hAnsi="仿宋_GB2312" w:eastAsia="仿宋_GB2312" w:cs="仿宋_GB2312"/>
          <w:b/>
          <w:bCs/>
          <w:i w:val="0"/>
          <w:caps w:val="0"/>
          <w:color w:val="auto"/>
          <w:spacing w:val="0"/>
          <w:kern w:val="0"/>
          <w:sz w:val="32"/>
          <w:szCs w:val="32"/>
          <w:shd w:val="clear" w:color="auto" w:fill="FFFFFF"/>
          <w:lang w:val="en-US" w:eastAsia="zh-CN"/>
        </w:rPr>
        <w:t>（四）政策促进联动</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rPr>
      </w:pPr>
      <w:r>
        <w:rPr>
          <w:rFonts w:hint="eastAsia" w:ascii="仿宋_GB2312" w:hAnsi="仿宋_GB2312" w:eastAsia="仿宋_GB2312" w:cs="仿宋_GB2312"/>
          <w:i w:val="0"/>
          <w:caps w:val="0"/>
          <w:color w:val="auto"/>
          <w:spacing w:val="0"/>
          <w:kern w:val="0"/>
          <w:sz w:val="32"/>
          <w:szCs w:val="32"/>
          <w:shd w:val="clear" w:color="auto" w:fill="FFFFFF"/>
          <w:lang w:val="en-US" w:eastAsia="zh-CN"/>
        </w:rPr>
        <w:t>各相关部门解放思想、勇于担当，加强部门间、毗邻城市间的沟通协作和相关政策衔接。以服务产业为准则，促进区域性大范围政策联动，为各类市场主体公平竞争营造良好的营商环境，深化放管服，做好风险防范，务实高效推进综试区工作。</w:t>
      </w:r>
    </w:p>
    <w:p>
      <w:pPr>
        <w:pStyle w:val="6"/>
        <w:rPr>
          <w:rFonts w:hint="default"/>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116B8D"/>
    <w:rsid w:val="11C16599"/>
    <w:rsid w:val="2C116B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customStyle="1" w:styleId="5">
    <w:name w:val="Normal (Web)"/>
    <w:basedOn w:val="1"/>
    <w:qFormat/>
    <w:uiPriority w:val="0"/>
    <w:pPr>
      <w:spacing w:before="100" w:beforeLines="0" w:beforeAutospacing="1" w:after="100" w:afterLines="0" w:afterAutospacing="1"/>
      <w:ind w:left="0" w:right="0"/>
      <w:jc w:val="left"/>
    </w:pPr>
    <w:rPr>
      <w:kern w:val="0"/>
      <w:sz w:val="24"/>
      <w:lang w:val="en-US" w:eastAsia="zh-CN"/>
    </w:rPr>
  </w:style>
  <w:style w:type="paragraph" w:customStyle="1" w:styleId="6">
    <w:name w:val="Default"/>
    <w:basedOn w:val="1"/>
    <w:qFormat/>
    <w:uiPriority w:val="0"/>
    <w:pPr>
      <w:autoSpaceDE w:val="0"/>
      <w:autoSpaceDN w:val="0"/>
      <w:adjustRightInd w:val="0"/>
      <w:jc w:val="left"/>
    </w:pPr>
    <w:rPr>
      <w:rFonts w:cs="宋体"/>
      <w:color w:val="000000"/>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2020-05-29T02:35:00Z</dcterms:created>
  <dc:creator>公文管理员</dc:creator>
  <cp:lastModifiedBy>公文管理员</cp:lastModifiedBy>
  <dcterms:modified xsi:type="dcterms:W3CDTF">2020-05-29T02:37:50Z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