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left="628" w:leftChars="200"/>
        <w:textAlignment w:val="auto"/>
        <w:rPr>
          <w:rFonts w:hint="eastAsia" w:hAnsi="方正仿宋_GBK" w:eastAsia="仿宋_GB2312"/>
          <w:spacing w:val="0"/>
          <w:kern w:val="32"/>
          <w:lang w:eastAsia="zh-CN"/>
        </w:rPr>
      </w:pPr>
    </w:p>
    <w:p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zh-TW" w:eastAsia="zh-TW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zh-TW" w:eastAsia="zh-TW"/>
        </w:rPr>
        <w:t>北京市机器人产业创新发展行动方案</w:t>
      </w:r>
    </w:p>
    <w:p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zh-TW" w:eastAsia="zh-TW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zh-TW" w:eastAsia="zh-TW"/>
        </w:rPr>
        <w:t>（20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19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zh-TW" w:eastAsia="zh-TW"/>
        </w:rPr>
        <w:t>—2022年）</w:t>
      </w:r>
    </w:p>
    <w:p>
      <w:pPr>
        <w:spacing w:line="560" w:lineRule="exact"/>
        <w:ind w:firstLine="628" w:firstLineChars="200"/>
        <w:rPr>
          <w:rFonts w:hint="eastAsia" w:ascii="仿宋_GB2312" w:hAnsi="宋体-18030" w:eastAsia="仿宋_GB2312"/>
          <w:sz w:val="32"/>
          <w:szCs w:val="32"/>
          <w:lang w:val="zh-TW" w:eastAsia="zh-TW"/>
        </w:rPr>
      </w:pPr>
    </w:p>
    <w:p>
      <w:pPr>
        <w:spacing w:line="560" w:lineRule="exact"/>
        <w:ind w:firstLine="628" w:firstLineChars="200"/>
        <w:rPr>
          <w:rFonts w:hint="eastAsia" w:ascii="仿宋_GB2312" w:hAnsi="宋体-18030" w:eastAsia="仿宋_GB2312"/>
          <w:sz w:val="32"/>
          <w:szCs w:val="32"/>
          <w:lang w:val="zh-TW" w:eastAsia="zh-TW"/>
        </w:rPr>
      </w:pP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为贯彻《北京市加快科技创新发展智能装备产业的指导意见》，推动北京市机器人产业高质量发展，特制定本方案，期限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2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0</w:t>
      </w:r>
      <w:r>
        <w:rPr>
          <w:rFonts w:hint="eastAsia" w:ascii="仿宋_GB2312" w:hAnsi="宋体-18030" w:eastAsia="仿宋_GB2312"/>
          <w:sz w:val="32"/>
          <w:szCs w:val="32"/>
        </w:rPr>
        <w:t>19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至2022年。</w:t>
      </w:r>
    </w:p>
    <w:p>
      <w:pPr>
        <w:spacing w:line="560" w:lineRule="exact"/>
        <w:ind w:firstLine="640"/>
        <w:outlineLvl w:val="0"/>
        <w:rPr>
          <w:rFonts w:ascii="黑体" w:hAnsi="黑体" w:eastAsia="黑体" w:cs="PingFang SC Ultralight"/>
          <w:sz w:val="32"/>
          <w:szCs w:val="32"/>
          <w:lang w:val="zh-TW" w:eastAsia="zh-TW"/>
        </w:rPr>
      </w:pPr>
      <w:r>
        <w:rPr>
          <w:rFonts w:hint="eastAsia" w:ascii="黑体" w:hAnsi="黑体" w:eastAsia="黑体" w:cs="宋体"/>
          <w:sz w:val="32"/>
          <w:szCs w:val="32"/>
          <w:lang w:val="zh-TW" w:eastAsia="zh-TW"/>
        </w:rPr>
        <w:t>一</w:t>
      </w:r>
      <w:r>
        <w:rPr>
          <w:rFonts w:ascii="黑体" w:hAnsi="黑体" w:eastAsia="黑体"/>
          <w:sz w:val="32"/>
          <w:szCs w:val="32"/>
          <w:lang w:val="zh-TW" w:eastAsia="zh-TW"/>
        </w:rPr>
        <w:t>、</w:t>
      </w:r>
      <w:r>
        <w:rPr>
          <w:rFonts w:hint="eastAsia" w:ascii="黑体" w:hAnsi="黑体" w:eastAsia="黑体"/>
          <w:sz w:val="32"/>
          <w:szCs w:val="32"/>
          <w:lang w:val="zh-TW" w:eastAsia="zh-TW"/>
        </w:rPr>
        <w:t>基本思路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仿宋" w:cs="仿宋"/>
          <w:sz w:val="32"/>
          <w:szCs w:val="32"/>
          <w:lang w:val="zh-TW" w:eastAsia="zh-TW"/>
        </w:rPr>
      </w:pP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紧抓全国科技创新中心建设的重大机遇，依托一批创新实力强、产业基础好、市场成长快的骨干企业，培育形成以医疗健康机器人、特种机器人、协作机器人、仓储物流机器人四大整机加关键零部件为主导的“4+1”发展格局，重点推广四大产业创新模式，激活三大应用服务市场，破解两大产业协同路径，构建具有北京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乃至京津冀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特色的机器人产业发展生态，打造具有全球影响力的机器人产业创新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策源地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和应用示范高地。</w:t>
      </w:r>
    </w:p>
    <w:p>
      <w:pPr>
        <w:spacing w:line="560" w:lineRule="exact"/>
        <w:ind w:firstLine="640"/>
        <w:outlineLvl w:val="0"/>
        <w:rPr>
          <w:rFonts w:ascii="黑体" w:hAnsi="黑体" w:eastAsia="黑体" w:cs="宋体"/>
          <w:sz w:val="32"/>
          <w:szCs w:val="32"/>
          <w:lang w:val="zh-TW" w:eastAsia="zh-TW"/>
        </w:rPr>
      </w:pPr>
      <w:r>
        <w:rPr>
          <w:rFonts w:hint="eastAsia" w:ascii="黑体" w:hAnsi="黑体" w:eastAsia="黑体" w:cs="宋体"/>
          <w:sz w:val="32"/>
          <w:szCs w:val="32"/>
          <w:lang w:val="zh-TW" w:eastAsia="zh-TW"/>
        </w:rPr>
        <w:t>二、主要</w:t>
      </w:r>
      <w:r>
        <w:rPr>
          <w:rFonts w:ascii="黑体" w:hAnsi="黑体" w:eastAsia="黑体" w:cs="宋体"/>
          <w:sz w:val="32"/>
          <w:szCs w:val="32"/>
          <w:lang w:val="zh-TW" w:eastAsia="zh-TW"/>
        </w:rPr>
        <w:t>目标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仿宋" w:cs="仿宋"/>
          <w:sz w:val="32"/>
          <w:szCs w:val="32"/>
          <w:lang w:val="zh-TW" w:eastAsia="zh-TW"/>
        </w:rPr>
      </w:pP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到2022年，我市机器人创新能力和产业实力明显增强，示范应用成效显著，在全国形成重要影响力。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仿宋" w:cs="仿宋"/>
          <w:sz w:val="32"/>
          <w:szCs w:val="32"/>
          <w:lang w:val="zh-TW" w:eastAsia="zh-TW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创新地位国内突出</w:t>
      </w:r>
      <w:r>
        <w:rPr>
          <w:rFonts w:hint="eastAsia" w:ascii="仿宋_GB2312" w:hAnsi="仿宋_GB2312" w:eastAsia="仿宋_GB2312" w:cs="仿宋_GB2312"/>
          <w:sz w:val="32"/>
          <w:szCs w:val="32"/>
          <w:lang w:val="zh-TW" w:eastAsia="zh-TW"/>
        </w:rPr>
        <w:t>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机器人关键核心和前沿技术实现突破，在机器人新型传动、人机交互、仿生等领域涌现一批标志性创新成果。围绕医疗健康机器人、特种机器人、协作机器人等细分领域，培育形成3个以上在国内有影响力的协同创新平台。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仿宋" w:cs="仿宋"/>
          <w:sz w:val="32"/>
          <w:szCs w:val="32"/>
          <w:lang w:val="zh-TW" w:eastAsia="zh-TW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产业实力稳步提升。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机器人产业配套体系逐步完善，形成机器人产业链分工合作的发展生态。医疗健康、特种、协作、仓储物流机器人等领域培育2-3家国际领先企业、10家国内细分领域领军企业，打造1-2个特色产业基地。全市机器人产业收入超过120亿元。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仿宋" w:cs="仿宋"/>
          <w:sz w:val="32"/>
          <w:szCs w:val="32"/>
          <w:lang w:val="zh-TW" w:eastAsia="zh-TW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示范应用成效显著。</w:t>
      </w:r>
      <w:r>
        <w:rPr>
          <w:rFonts w:hint="eastAsia" w:ascii="仿宋_GB2312" w:hAnsi="宋体-18030" w:eastAsia="仿宋_GB2312"/>
          <w:sz w:val="32"/>
          <w:szCs w:val="32"/>
        </w:rPr>
        <w:t>遴选一批机器人创新应用示范场景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，</w:t>
      </w:r>
      <w:r>
        <w:rPr>
          <w:rFonts w:hint="eastAsia" w:ascii="仿宋_GB2312" w:hAnsi="宋体-18030" w:eastAsia="仿宋_GB2312"/>
          <w:sz w:val="32"/>
          <w:szCs w:val="32"/>
        </w:rPr>
        <w:t>推动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工业机器人在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数字化车间、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智能工厂等场景落地并发挥更大作用，服务、特种机器人创新成果在民生、安全、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应急、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物流等领域应用取得新进展，带动我市产业转型升级和经济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社会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高质量发展</w:t>
      </w:r>
      <w:r>
        <w:rPr>
          <w:rFonts w:hint="eastAsia" w:ascii="仿宋" w:hAnsi="仿宋" w:eastAsia="仿宋" w:cs="仿宋"/>
          <w:sz w:val="32"/>
          <w:szCs w:val="32"/>
          <w:lang w:val="zh-TW" w:eastAsia="zh-TW"/>
        </w:rPr>
        <w:t>。</w:t>
      </w:r>
    </w:p>
    <w:p>
      <w:pPr>
        <w:spacing w:line="560" w:lineRule="exact"/>
        <w:ind w:firstLine="640"/>
        <w:outlineLvl w:val="0"/>
        <w:rPr>
          <w:rFonts w:ascii="黑体" w:hAnsi="黑体" w:eastAsia="PMingLiU" w:cs="宋体"/>
          <w:sz w:val="32"/>
          <w:szCs w:val="32"/>
          <w:lang w:val="zh-TW" w:eastAsia="zh-TW"/>
        </w:rPr>
      </w:pPr>
      <w:r>
        <w:rPr>
          <w:rFonts w:hint="eastAsia" w:ascii="黑体" w:hAnsi="黑体" w:eastAsia="黑体" w:cs="宋体"/>
          <w:sz w:val="32"/>
          <w:szCs w:val="32"/>
          <w:lang w:val="zh-TW" w:eastAsia="zh-TW"/>
        </w:rPr>
        <w:t>三</w:t>
      </w:r>
      <w:r>
        <w:rPr>
          <w:rFonts w:ascii="黑体" w:hAnsi="黑体" w:eastAsia="黑体" w:cs="宋体"/>
          <w:sz w:val="32"/>
          <w:szCs w:val="32"/>
          <w:lang w:val="zh-TW" w:eastAsia="zh-TW"/>
        </w:rPr>
        <w:t>、</w:t>
      </w:r>
      <w:r>
        <w:rPr>
          <w:rFonts w:hint="eastAsia" w:ascii="黑体" w:hAnsi="黑体" w:eastAsia="黑体" w:cs="宋体"/>
          <w:sz w:val="32"/>
          <w:szCs w:val="32"/>
          <w:lang w:val="zh-TW" w:eastAsia="zh-TW"/>
        </w:rPr>
        <w:t>重点工作</w:t>
      </w:r>
    </w:p>
    <w:p>
      <w:pPr>
        <w:adjustRightInd w:val="0"/>
        <w:snapToGrid w:val="0"/>
        <w:spacing w:line="560" w:lineRule="exact"/>
        <w:ind w:firstLine="628" w:firstLineChars="200"/>
        <w:rPr>
          <w:rFonts w:hint="eastAsia" w:ascii="仿宋_GB2312" w:hAnsi="宋体-18030" w:eastAsia="仿宋_GB2312"/>
          <w:sz w:val="32"/>
          <w:szCs w:val="32"/>
          <w:lang w:val="zh-TW" w:eastAsia="zh-TW"/>
        </w:rPr>
      </w:pP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实施“五四三二”工程。“五”，即培育发展“4+1”重点产业方向——医疗健康、特种、协作、仓储物流机器人以及机器人关键零部件；“四”，即推广四大产业创新模式——产学研用协同、央地协同、创新创业孵化、跨界融合创新模式；“三”，即激活三大应用服务市场——加大机器人在工业领域推广应用力度、开展服务民生领域示范应用和推动公共安全领域示范应用；“二”，即破解两大产业协同路径——完善机器人产业配套体系、推动京津冀机器人产业协同发展。</w:t>
      </w:r>
    </w:p>
    <w:p>
      <w:pPr>
        <w:adjustRightInd w:val="0"/>
        <w:snapToGrid w:val="0"/>
        <w:spacing w:line="560" w:lineRule="exact"/>
        <w:ind w:firstLine="628" w:firstLineChars="200"/>
        <w:outlineLvl w:val="1"/>
        <w:rPr>
          <w:rFonts w:ascii="楷体" w:hAnsi="楷体" w:eastAsia="PMingLiU" w:cs="仿宋"/>
          <w:sz w:val="32"/>
          <w:szCs w:val="32"/>
          <w:lang w:val="zh-TW" w:eastAsia="zh-TW"/>
        </w:rPr>
      </w:pPr>
      <w:r>
        <w:rPr>
          <w:rFonts w:ascii="楷体" w:hAnsi="楷体" w:eastAsia="楷体" w:cs="仿宋"/>
          <w:sz w:val="32"/>
          <w:szCs w:val="32"/>
          <w:lang w:val="zh-TW" w:eastAsia="zh-TW"/>
        </w:rPr>
        <w:t>（</w:t>
      </w:r>
      <w:r>
        <w:rPr>
          <w:rFonts w:hint="eastAsia" w:ascii="楷体" w:hAnsi="楷体" w:eastAsia="楷体" w:cs="仿宋"/>
          <w:sz w:val="32"/>
          <w:szCs w:val="32"/>
          <w:lang w:val="zh-TW" w:eastAsia="zh-TW"/>
        </w:rPr>
        <w:t>一</w:t>
      </w:r>
      <w:r>
        <w:rPr>
          <w:rFonts w:ascii="楷体" w:hAnsi="楷体" w:eastAsia="楷体" w:cs="仿宋"/>
          <w:sz w:val="32"/>
          <w:szCs w:val="32"/>
          <w:lang w:val="zh-TW" w:eastAsia="zh-TW"/>
        </w:rPr>
        <w:t>）</w:t>
      </w:r>
      <w:r>
        <w:rPr>
          <w:rFonts w:hint="eastAsia" w:ascii="楷体" w:hAnsi="楷体" w:eastAsia="楷体" w:cs="仿宋"/>
          <w:sz w:val="32"/>
          <w:szCs w:val="32"/>
          <w:lang w:val="zh-TW" w:eastAsia="zh-TW"/>
        </w:rPr>
        <w:t>培育发展“</w:t>
      </w:r>
      <w:r>
        <w:rPr>
          <w:rFonts w:hint="eastAsia" w:ascii="楷体" w:hAnsi="楷体" w:eastAsia="楷体" w:cs="仿宋"/>
          <w:sz w:val="32"/>
          <w:szCs w:val="32"/>
          <w:lang w:val="zh-TW"/>
        </w:rPr>
        <w:t>4+</w:t>
      </w:r>
      <w:r>
        <w:rPr>
          <w:rFonts w:ascii="楷体" w:hAnsi="楷体" w:eastAsia="PMingLiU" w:cs="仿宋"/>
          <w:sz w:val="32"/>
          <w:szCs w:val="32"/>
          <w:lang w:val="zh-TW" w:eastAsia="zh-TW"/>
        </w:rPr>
        <w:t>1</w:t>
      </w:r>
      <w:r>
        <w:rPr>
          <w:rFonts w:hint="eastAsia" w:ascii="楷体" w:hAnsi="楷体" w:eastAsia="楷体" w:cs="仿宋"/>
          <w:sz w:val="32"/>
          <w:szCs w:val="32"/>
          <w:lang w:val="zh-TW" w:eastAsia="zh-TW"/>
        </w:rPr>
        <w:t>”产业格局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仿宋" w:cs="仿宋"/>
          <w:sz w:val="32"/>
          <w:szCs w:val="32"/>
          <w:lang w:val="zh-TW" w:eastAsia="zh-TW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医疗健康机器人。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加快骨科手术机器人、神经外科手术机器人、纳米机器人等医疗机器人技术和产业布局，推动机器人临床应用研究，开展下一代手术机器人远程手术、安全操控等核心技术研发及产业化。面向养老、健康服务领域，布局机器学习、触觉反馈、增强现实、脑机接口等关键技术，推动多功能手臂、外骨骼机器人等康复机器人以及智能护理机器人的研发生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28" w:firstLineChars="200"/>
        <w:textAlignment w:val="auto"/>
        <w:outlineLvl w:val="9"/>
        <w:rPr>
          <w:rFonts w:ascii="仿宋_GB2312" w:hAnsi="仿宋_GB2312" w:eastAsia="仿宋_GB2312" w:cs="仿宋_GB2312"/>
          <w:bCs/>
          <w:sz w:val="32"/>
          <w:szCs w:val="32"/>
          <w:lang w:val="zh-TW" w:eastAsia="zh-TW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特种机器人。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zh-TW" w:eastAsia="zh-TW"/>
        </w:rPr>
        <w:t>满足公共安全需求，加快发展侦查安检、安保巡逻、排爆销毁、破障处置等警用机器人。满足恶性事故、自然灾害以及高温高压、有毒有害等特殊环境需求，发展侦查、灭火、排烟等消防机器人和应急救援保障机器人。面向航天、航空、核工程及水面特殊作业等需求，发展空间机器人、无人机、水面/水下机器人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/>
        <w:textAlignment w:val="auto"/>
        <w:outlineLvl w:val="0"/>
        <w:rPr>
          <w:rFonts w:hint="eastAsia" w:ascii="仿宋_GB2312" w:hAnsi="宋体-18030" w:eastAsia="仿宋_GB2312"/>
          <w:b w:val="0"/>
          <w:bCs/>
          <w:kern w:val="2"/>
          <w:sz w:val="32"/>
          <w:szCs w:val="32"/>
          <w:lang w:val="zh-TW" w:eastAsia="zh-TW" w:bidi="ar-SA"/>
        </w:rPr>
      </w:pPr>
      <w:r>
        <w:rPr>
          <w:rFonts w:hint="eastAsia" w:ascii="仿宋_GB2312" w:hAnsi="宋体-18030" w:eastAsia="仿宋_GB2312"/>
          <w:b/>
          <w:bCs w:val="0"/>
          <w:kern w:val="2"/>
          <w:sz w:val="32"/>
          <w:szCs w:val="32"/>
          <w:lang w:val="zh-TW" w:eastAsia="zh-TW" w:bidi="ar-SA"/>
        </w:rPr>
        <w:t>协作机器人。</w:t>
      </w:r>
      <w:r>
        <w:rPr>
          <w:rFonts w:hint="eastAsia" w:ascii="仿宋_GB2312" w:hAnsi="宋体-18030" w:eastAsia="仿宋_GB2312"/>
          <w:b w:val="0"/>
          <w:bCs/>
          <w:kern w:val="2"/>
          <w:sz w:val="32"/>
          <w:szCs w:val="32"/>
          <w:lang w:val="zh-TW" w:eastAsia="zh-TW" w:bidi="ar-SA"/>
        </w:rPr>
        <w:t>面向电子信息、汽车零部件、装备制造等领域，发展大负载、视觉/触觉识别、快速编程和智能示教等协作机器人，以及轻量化、关节力感知、关节/空间柔顺控制、无控制柜、智能工艺学习等柔性力感知协作机器人。面向科研教育、医疗、商业服务等领域，发展7轴冗余自由度、仿生柔性交互、高安全性</w:t>
      </w:r>
      <w:r>
        <w:rPr>
          <w:rFonts w:hint="eastAsia" w:ascii="仿宋_GB2312" w:hAnsi="宋体-18030" w:eastAsia="仿宋_GB2312"/>
          <w:b w:val="0"/>
          <w:bCs/>
          <w:kern w:val="2"/>
          <w:sz w:val="32"/>
          <w:szCs w:val="32"/>
          <w:lang w:val="zh-TW" w:eastAsia="zh-CN" w:bidi="ar-SA"/>
        </w:rPr>
        <w:t>的</w:t>
      </w:r>
      <w:r>
        <w:rPr>
          <w:rFonts w:hint="eastAsia" w:ascii="仿宋_GB2312" w:hAnsi="宋体-18030" w:eastAsia="仿宋_GB2312"/>
          <w:b w:val="0"/>
          <w:bCs/>
          <w:kern w:val="2"/>
          <w:sz w:val="32"/>
          <w:szCs w:val="32"/>
          <w:lang w:val="zh-TW" w:eastAsia="zh-TW" w:bidi="ar-SA"/>
        </w:rPr>
        <w:t>柔性协作机器人。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628" w:firstLineChars="200"/>
        <w:textAlignment w:val="auto"/>
        <w:outlineLvl w:val="9"/>
        <w:rPr>
          <w:rFonts w:ascii="仿宋" w:hAnsi="仿宋" w:eastAsia="PMingLiU" w:cs="仿宋"/>
          <w:sz w:val="32"/>
          <w:szCs w:val="32"/>
          <w:lang w:val="zh-TW" w:eastAsia="zh-TW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仓储物流机器人。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面向智能制造、仓储物流等领域，发展拣选、搬运、货箱到人、复合型机器人，以及物流无人机、无人车、无人仓储、无人叉车等智能仓储物流技术产品。面向智慧城市，发展智能停车AGV、立体车库等产品和解决方案。</w:t>
      </w:r>
    </w:p>
    <w:p>
      <w:pPr>
        <w:adjustRightInd w:val="0"/>
        <w:snapToGrid w:val="0"/>
        <w:spacing w:line="560" w:lineRule="exact"/>
        <w:ind w:firstLine="628" w:firstLineChars="200"/>
        <w:rPr>
          <w:rFonts w:hint="eastAsia" w:ascii="仿宋_GB2312" w:hAnsi="宋体-18030" w:eastAsia="仿宋_GB2312"/>
          <w:sz w:val="32"/>
          <w:szCs w:val="32"/>
          <w:lang w:val="zh-TW" w:eastAsia="zh-TW"/>
        </w:rPr>
      </w:pPr>
      <w:r>
        <w:rPr>
          <w:rFonts w:hint="eastAsia" w:ascii="仿宋_GB2312" w:hAnsi="宋体-18030" w:eastAsia="仿宋_GB2312"/>
          <w:b/>
          <w:bCs/>
          <w:sz w:val="32"/>
          <w:szCs w:val="32"/>
          <w:lang w:val="zh-TW" w:eastAsia="zh-TW"/>
        </w:rPr>
        <w:t>机器人关键零部件。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发展高性能机器人专用伺服电机和驱动器、高精密减速器、编码器、智能型机器人控制器和操作系统、多自由</w:t>
      </w:r>
      <w:r>
        <w:rPr>
          <w:rFonts w:hint="eastAsia" w:ascii="仿宋_GB2312" w:hAnsi="宋体-18030"/>
          <w:sz w:val="32"/>
          <w:szCs w:val="32"/>
          <w:lang w:val="zh-TW" w:eastAsia="zh-CN"/>
        </w:rPr>
        <w:t>度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灵巧手、末端执行器，以及关节位置、力矩、视觉、触觉传感器等机器人关键零部件，提升产业支撑能力。</w:t>
      </w:r>
    </w:p>
    <w:p>
      <w:pPr>
        <w:adjustRightInd w:val="0"/>
        <w:snapToGrid w:val="0"/>
        <w:spacing w:line="560" w:lineRule="exact"/>
        <w:ind w:firstLine="628" w:firstLineChars="200"/>
        <w:outlineLvl w:val="1"/>
        <w:rPr>
          <w:rFonts w:ascii="楷体" w:hAnsi="楷体" w:eastAsia="PMingLiU" w:cs="仿宋"/>
          <w:sz w:val="32"/>
          <w:szCs w:val="32"/>
          <w:lang w:val="zh-TW" w:eastAsia="zh-TW"/>
        </w:rPr>
      </w:pPr>
      <w:r>
        <w:rPr>
          <w:rFonts w:hint="eastAsia" w:ascii="楷体" w:hAnsi="楷体" w:eastAsia="楷体" w:cs="仿宋"/>
          <w:sz w:val="32"/>
          <w:szCs w:val="32"/>
          <w:lang w:val="zh-TW" w:eastAsia="zh-TW"/>
        </w:rPr>
        <w:t>（二）推广四大产业创新模式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PMingLiU" w:cs="仿宋"/>
          <w:sz w:val="32"/>
          <w:szCs w:val="32"/>
          <w:lang w:eastAsia="zh-TW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产学研用协同创新模式。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聚焦医疗健康机器人、特种机器人、协作机器人等领域，整合细分领域优势资源，围绕产业共性技术等重大需求，推动市级产业创新中心建设。支持有能力有条件的企业与高校、科研院所共建研发机构、搭建技术研发和工程化平台，突破关键共性技术及关键核心部件瓶颈，提升关键技术及产品自主化供给能力。支持企业和用户以上下游需求和供给能力为依据、以应用为导向，协同开展机器人创新应用，建立产业链上下游互融共生、分工合作、利益共享的一体化组织新模式。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PMingLiU" w:cs="仿宋"/>
          <w:sz w:val="32"/>
          <w:szCs w:val="32"/>
          <w:lang w:val="zh-TW" w:eastAsia="zh-TW"/>
        </w:rPr>
      </w:pPr>
      <w:bookmarkStart w:id="0" w:name="_Hlk24382087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央地协同</w:t>
      </w:r>
      <w:bookmarkEnd w:id="0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创新模式。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支持中央企业、单位与本市企业搭建技术转移转化平台，建立创新成果产业化合作模式。组织本市企业与中央企业、单位进行对接和联合开展机器人研发、产业化和示范应用项目。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PMingLiU" w:cs="仿宋"/>
          <w:sz w:val="32"/>
          <w:szCs w:val="32"/>
          <w:lang w:val="zh-TW" w:eastAsia="zh-TW"/>
        </w:rPr>
      </w:pPr>
      <w:bookmarkStart w:id="1" w:name="_Hlk24382103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创新创业孵化</w:t>
      </w:r>
      <w:bookmarkEnd w:id="1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模式。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组织机器人创新创业大赛、项目路演等活动，邀请行业专家、企业家、投资人等担任创新创业导师，培育推荐创新型企业和重点项目。支持领军企业采取新型研发创新组织模式，孵化科技型小微企业。发挥产业基金作用，引导社会资本投资机器人创新创业活动。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PMingLiU" w:cs="仿宋"/>
          <w:sz w:val="32"/>
          <w:szCs w:val="32"/>
          <w:lang w:val="zh-TW" w:eastAsia="zh-TW"/>
        </w:rPr>
      </w:pPr>
      <w:bookmarkStart w:id="2" w:name="_Hlk24382116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跨界融合</w:t>
      </w:r>
      <w:bookmarkEnd w:id="2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创新模式。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支持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有条件的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传统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制造业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企业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拓展业务领域，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开展机器人研发生产和集成应用，培育机器人系统解决方案。支持新一代信息技术、互联网、人工智能等创新型企业结合应用场景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，开发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机器人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产品、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开展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技术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和模式创新、拓展市场应用空间，培育形成国内领先的机器人产业融合创新生态圈。</w:t>
      </w:r>
    </w:p>
    <w:p>
      <w:pPr>
        <w:adjustRightInd w:val="0"/>
        <w:snapToGrid w:val="0"/>
        <w:spacing w:line="560" w:lineRule="exact"/>
        <w:ind w:firstLine="628" w:firstLineChars="200"/>
        <w:outlineLvl w:val="1"/>
        <w:rPr>
          <w:rFonts w:ascii="楷体" w:hAnsi="楷体" w:eastAsia="楷体" w:cs="仿宋"/>
          <w:sz w:val="32"/>
          <w:szCs w:val="32"/>
          <w:lang w:val="zh-TW" w:eastAsia="zh-TW"/>
        </w:rPr>
      </w:pPr>
      <w:r>
        <w:rPr>
          <w:rFonts w:hint="eastAsia" w:ascii="楷体" w:hAnsi="楷体" w:eastAsia="楷体" w:cs="仿宋"/>
          <w:sz w:val="32"/>
          <w:szCs w:val="32"/>
          <w:lang w:val="zh-TW" w:eastAsia="zh-TW"/>
        </w:rPr>
        <w:t>（三）激活三大应用服务市场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仿宋" w:cs="仿宋"/>
          <w:sz w:val="32"/>
          <w:szCs w:val="32"/>
          <w:lang w:val="zh-TW"/>
        </w:rPr>
      </w:pPr>
      <w:bookmarkStart w:id="3" w:name="_Hlk24382191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加大工业领域推广应用力度</w:t>
      </w:r>
      <w:bookmarkEnd w:id="3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支持电子、汽车、装备等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行业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推广应用工业机器人、仓储物流机器人和系统解决方案。以小米5</w:t>
      </w:r>
      <w:r>
        <w:rPr>
          <w:rFonts w:ascii="仿宋_GB2312" w:hAnsi="宋体-18030" w:eastAsia="仿宋_GB2312"/>
          <w:sz w:val="32"/>
          <w:szCs w:val="32"/>
          <w:lang w:val="zh-TW" w:eastAsia="zh-TW"/>
        </w:rPr>
        <w:t>G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智能工厂等重大项目为示范带动，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鼓励机器人企业积极参与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数字化车间、智能工厂等项目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建设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，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融合</w:t>
      </w:r>
      <w:r>
        <w:rPr>
          <w:rFonts w:hint="eastAsia" w:ascii="仿宋_GB2312" w:hAnsi="宋体-18030" w:eastAsia="仿宋_GB2312"/>
          <w:sz w:val="32"/>
          <w:szCs w:val="32"/>
        </w:rPr>
        <w:t>5G等新一代信息技术，在实现生产线智能化、柔性化等方面发挥更大成效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。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仿宋"/>
          <w:sz w:val="32"/>
          <w:szCs w:val="32"/>
        </w:rPr>
      </w:pPr>
      <w:bookmarkStart w:id="4" w:name="_Hlk24382256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开展服务民生领域示范应用</w:t>
      </w:r>
      <w:bookmarkEnd w:id="4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。</w:t>
      </w:r>
      <w:r>
        <w:rPr>
          <w:rFonts w:hint="eastAsia" w:ascii="仿宋_GB2312" w:hAnsi="宋体-18030" w:eastAsia="仿宋_GB2312" w:cs="Times New Roman"/>
          <w:b w:val="0"/>
          <w:sz w:val="32"/>
          <w:szCs w:val="32"/>
          <w:lang w:val="zh-TW" w:eastAsia="zh-TW"/>
        </w:rPr>
        <w:t>继续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推动骨科手术机器人应用中心建设，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推广医疗健康机器人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在医院、养老机构等领域应用，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拓展5</w:t>
      </w:r>
      <w:r>
        <w:rPr>
          <w:rFonts w:ascii="仿宋_GB2312" w:hAnsi="宋体-18030" w:eastAsia="仿宋_GB2312"/>
          <w:sz w:val="32"/>
          <w:szCs w:val="32"/>
          <w:lang w:val="zh-TW" w:eastAsia="zh-TW"/>
        </w:rPr>
        <w:t>G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远程操控手术机器人实时手术应用场景。支持企业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积极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参与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国家</w:t>
      </w:r>
      <w:r>
        <w:rPr>
          <w:rFonts w:hint="eastAsia" w:ascii="仿宋_GB2312" w:hAnsi="宋体-18030" w:eastAsia="仿宋_GB2312"/>
          <w:sz w:val="32"/>
          <w:szCs w:val="32"/>
        </w:rPr>
        <w:t>先进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医疗</w:t>
      </w:r>
      <w:r>
        <w:rPr>
          <w:rFonts w:hint="eastAsia" w:ascii="仿宋_GB2312" w:hAnsi="宋体-18030" w:eastAsia="仿宋_GB2312"/>
          <w:sz w:val="32"/>
          <w:szCs w:val="32"/>
        </w:rPr>
        <w:t>装备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应用示范、智慧健康养老应用试点示范等项目。开展以场景应用为主的机器人测评比选大赛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，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支持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仓储物流等服务机器人、安全应急等特种机器人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在城市副中心、大兴机场等重点区域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及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北京冬奥会等重大</w:t>
      </w:r>
      <w:r>
        <w:rPr>
          <w:rFonts w:hint="eastAsia" w:ascii="仿宋_GB2312" w:hAnsi="宋体-18030" w:eastAsia="仿宋_GB2312"/>
          <w:sz w:val="32"/>
          <w:szCs w:val="32"/>
        </w:rPr>
        <w:t>活动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率先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示范应用，拓展产品市场空间。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PMingLiU" w:cs="仿宋"/>
          <w:sz w:val="32"/>
          <w:szCs w:val="32"/>
          <w:lang w:val="zh-TW" w:eastAsia="zh-TW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推动公共安全领域示范应用。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面向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警用、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消防、应急救援机器人领域，搭建形成高效产需对接平台，推动一批警用、消防及应急救援机器人进入作业现场实现示范应用。</w:t>
      </w:r>
    </w:p>
    <w:p>
      <w:pPr>
        <w:adjustRightInd w:val="0"/>
        <w:snapToGrid w:val="0"/>
        <w:spacing w:line="560" w:lineRule="exact"/>
        <w:ind w:firstLine="628" w:firstLineChars="200"/>
        <w:outlineLvl w:val="1"/>
        <w:rPr>
          <w:rFonts w:ascii="楷体" w:hAnsi="楷体" w:eastAsia="楷体" w:cs="仿宋"/>
          <w:sz w:val="32"/>
          <w:szCs w:val="32"/>
          <w:lang w:val="zh-TW" w:eastAsia="zh-TW"/>
        </w:rPr>
      </w:pPr>
      <w:r>
        <w:rPr>
          <w:rFonts w:hint="eastAsia" w:ascii="楷体" w:hAnsi="楷体" w:eastAsia="楷体" w:cs="仿宋"/>
          <w:sz w:val="32"/>
          <w:szCs w:val="32"/>
          <w:lang w:val="zh-TW" w:eastAsia="zh-TW"/>
        </w:rPr>
        <w:t>（四）破解两大产业协同路径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PMingLiU" w:cs="仿宋"/>
          <w:sz w:val="32"/>
          <w:szCs w:val="32"/>
          <w:lang w:val="zh-TW" w:eastAsia="zh-TW"/>
        </w:rPr>
      </w:pPr>
      <w:bookmarkStart w:id="5" w:name="_Hlk24382317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完善机器人产业配套体系</w:t>
      </w:r>
      <w:bookmarkEnd w:id="5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支持企业、园区建设机器人公共加工服务平台，满足机器人研发中试和产业化配套需求。支持机器人系统集成商与本体企业、本体企业与零部件企业开展对接合作，建立上下游协作体系。支持机器人零部件生产企业加快伺服驱动及电机、减速器等关键零部件产业化进程。支持机器人关键零部件、本体企业对接检验检测平台，开展国产机器人核心零部件关键技术对标验证。</w:t>
      </w:r>
    </w:p>
    <w:p>
      <w:pPr>
        <w:spacing w:line="560" w:lineRule="exact"/>
        <w:ind w:firstLine="641"/>
        <w:rPr>
          <w:rFonts w:ascii="仿宋" w:hAnsi="仿宋" w:eastAsia="仿宋" w:cs="仿宋"/>
          <w:sz w:val="32"/>
          <w:szCs w:val="32"/>
          <w:lang w:eastAsia="zh-TW"/>
        </w:rPr>
      </w:pPr>
      <w:bookmarkStart w:id="6" w:name="_Hlk24382327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推动京津冀产业协同发展</w:t>
      </w:r>
      <w:bookmarkEnd w:id="6"/>
      <w:r>
        <w:rPr>
          <w:rFonts w:hint="eastAsia" w:ascii="仿宋_GB2312" w:hAnsi="仿宋_GB2312" w:eastAsia="仿宋_GB2312" w:cs="仿宋_GB2312"/>
          <w:b/>
          <w:sz w:val="32"/>
          <w:szCs w:val="32"/>
          <w:lang w:val="zh-TW" w:eastAsia="zh-TW"/>
        </w:rPr>
        <w:t>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整合京津冀机器人产业资源，强化产业链协作，支持企业通过网络协同制造等模式，引导供应链企业在京津冀合理布局，形成产业链互融共生、分工合作、利益共享的发展模式，辐射带动全国发展。</w:t>
      </w:r>
    </w:p>
    <w:p>
      <w:pPr>
        <w:spacing w:line="560" w:lineRule="exact"/>
        <w:ind w:firstLine="640"/>
        <w:outlineLvl w:val="0"/>
        <w:rPr>
          <w:rFonts w:ascii="黑体" w:hAnsi="黑体" w:eastAsia="PMingLiU" w:cs="宋体"/>
          <w:sz w:val="32"/>
          <w:szCs w:val="32"/>
          <w:lang w:val="zh-TW" w:eastAsia="zh-TW"/>
        </w:rPr>
      </w:pPr>
      <w:r>
        <w:rPr>
          <w:rFonts w:hint="eastAsia" w:ascii="黑体" w:hAnsi="黑体" w:eastAsia="黑体" w:cs="宋体"/>
          <w:sz w:val="32"/>
          <w:szCs w:val="32"/>
          <w:lang w:val="zh-TW" w:eastAsia="zh-TW"/>
        </w:rPr>
        <w:t>四、保障措施</w:t>
      </w:r>
    </w:p>
    <w:p>
      <w:pPr>
        <w:adjustRightInd w:val="0"/>
        <w:snapToGrid w:val="0"/>
        <w:spacing w:line="560" w:lineRule="exact"/>
        <w:ind w:firstLine="628" w:firstLineChars="200"/>
        <w:outlineLvl w:val="1"/>
        <w:rPr>
          <w:rFonts w:ascii="楷体" w:hAnsi="楷体" w:eastAsia="PMingLiU" w:cs="仿宋"/>
          <w:sz w:val="32"/>
          <w:szCs w:val="32"/>
          <w:lang w:val="zh-TW" w:eastAsia="zh-TW"/>
        </w:rPr>
      </w:pPr>
      <w:r>
        <w:rPr>
          <w:rFonts w:hint="eastAsia" w:ascii="楷体" w:hAnsi="楷体" w:eastAsia="楷体" w:cs="仿宋"/>
          <w:sz w:val="32"/>
          <w:szCs w:val="32"/>
          <w:lang w:val="zh-TW" w:eastAsia="zh-TW"/>
        </w:rPr>
        <w:t>（一）做好统筹组织保障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PMingLiU" w:cs="仿宋"/>
          <w:sz w:val="32"/>
          <w:szCs w:val="32"/>
          <w:lang w:val="zh-TW" w:eastAsia="zh-TW"/>
        </w:rPr>
      </w:pP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建立市经济</w:t>
      </w:r>
      <w:r>
        <w:rPr>
          <w:rFonts w:hint="eastAsia" w:ascii="仿宋_GB2312" w:hAnsi="宋体-18030"/>
          <w:sz w:val="32"/>
          <w:szCs w:val="32"/>
          <w:lang w:val="zh-TW" w:eastAsia="zh-CN"/>
        </w:rPr>
        <w:t>和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信息化局、市科委、中关村管委会等部门以及北京经济技术开发区等重点区</w:t>
      </w:r>
      <w:r>
        <w:rPr>
          <w:rFonts w:hint="eastAsia" w:ascii="仿宋_GB2312" w:hAnsi="宋体-18030"/>
          <w:sz w:val="32"/>
          <w:szCs w:val="32"/>
          <w:lang w:val="zh-TW" w:eastAsia="zh-CN"/>
        </w:rPr>
        <w:t>分工协作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的工作统筹机制，协同推进全市机器人研发及创新成果转化、产业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化及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产品示范应用等工作。支持中关村科学城巩固提升机器人原始创新、科技成果转化辐射能力，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引导机器人产业化项目向北京经济技术开发区重点布局，拓展布局房山、顺义、大兴、门头沟等区，加快推动一批重点项目落地。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对接河北省和天津市主管部门和企业，推动形成京津冀机器人创新链、产业链协同发展体系。</w:t>
      </w:r>
    </w:p>
    <w:p>
      <w:pPr>
        <w:adjustRightInd w:val="0"/>
        <w:snapToGrid w:val="0"/>
        <w:spacing w:line="560" w:lineRule="exact"/>
        <w:ind w:firstLine="628" w:firstLineChars="200"/>
        <w:outlineLvl w:val="1"/>
        <w:rPr>
          <w:rFonts w:ascii="楷体" w:hAnsi="楷体" w:eastAsia="PMingLiU" w:cs="仿宋"/>
          <w:sz w:val="32"/>
          <w:szCs w:val="32"/>
          <w:lang w:val="zh-TW" w:eastAsia="zh-TW"/>
        </w:rPr>
      </w:pPr>
      <w:r>
        <w:rPr>
          <w:rFonts w:hint="eastAsia" w:ascii="楷体" w:hAnsi="楷体" w:eastAsia="楷体" w:cs="仿宋"/>
          <w:sz w:val="32"/>
          <w:szCs w:val="32"/>
          <w:lang w:val="zh-TW" w:eastAsia="zh-TW"/>
        </w:rPr>
        <w:t>（二）加大政策支持力度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_GB2312" w:hAnsi="宋体-18030" w:eastAsia="PMingLiU"/>
          <w:sz w:val="32"/>
          <w:szCs w:val="32"/>
          <w:lang w:val="zh-TW" w:eastAsia="zh-TW"/>
        </w:rPr>
      </w:pP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支持优势企业、创投机构、科研院所等筹建机器人产业创新基金或产业创投基金。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鼓励推动创新型企业在科创板上市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。支持机器人企业通过融资租赁、信用贷款、知识产权质押贷款、信保融资等方式融资发展。落实首台（套）重大</w:t>
      </w:r>
      <w:r>
        <w:rPr>
          <w:rFonts w:hint="eastAsia" w:ascii="仿宋_GB2312" w:hAnsi="宋体-18030" w:eastAsia="仿宋_GB2312"/>
          <w:sz w:val="32"/>
          <w:szCs w:val="32"/>
          <w:lang w:val="zh-TW"/>
        </w:rPr>
        <w:t>技术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装备示范应用政策，加大对机器人首台（套）产品研制和应用的支持力度。</w:t>
      </w:r>
    </w:p>
    <w:p>
      <w:pPr>
        <w:adjustRightInd w:val="0"/>
        <w:snapToGrid w:val="0"/>
        <w:spacing w:line="560" w:lineRule="exact"/>
        <w:ind w:firstLine="628" w:firstLineChars="200"/>
        <w:outlineLvl w:val="1"/>
        <w:rPr>
          <w:rFonts w:ascii="楷体" w:hAnsi="楷体" w:eastAsia="PMingLiU" w:cs="仿宋"/>
          <w:sz w:val="32"/>
          <w:szCs w:val="32"/>
          <w:lang w:val="zh-TW" w:eastAsia="zh-TW"/>
        </w:rPr>
      </w:pPr>
      <w:r>
        <w:rPr>
          <w:rFonts w:hint="eastAsia" w:ascii="楷体" w:hAnsi="楷体" w:eastAsia="楷体" w:cs="仿宋"/>
          <w:sz w:val="32"/>
          <w:szCs w:val="32"/>
          <w:lang w:val="zh-TW" w:eastAsia="zh-TW"/>
        </w:rPr>
        <w:t>（三）引进培养产业人才</w:t>
      </w:r>
    </w:p>
    <w:p>
      <w:pPr>
        <w:adjustRightInd w:val="0"/>
        <w:snapToGrid w:val="0"/>
        <w:spacing w:line="560" w:lineRule="exact"/>
        <w:ind w:firstLine="628" w:firstLineChars="200"/>
        <w:rPr>
          <w:rFonts w:ascii="仿宋" w:hAnsi="仿宋" w:eastAsia="PMingLiU" w:cs="仿宋"/>
          <w:sz w:val="32"/>
          <w:szCs w:val="32"/>
          <w:lang w:val="zh-TW" w:eastAsia="zh-TW"/>
        </w:rPr>
      </w:pP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统筹用好国家、市级及中关村示范区人才政策，吸引国内外机器人领军人才在京发展。支持企业引进和培养机器人高端人才及核心团队,支持通过校企合作等方式开展人才培训，支持建立产业技术应用培训中心，形成多层次产业人才梯队。</w:t>
      </w:r>
    </w:p>
    <w:p>
      <w:pPr>
        <w:adjustRightInd w:val="0"/>
        <w:snapToGrid w:val="0"/>
        <w:spacing w:line="560" w:lineRule="exact"/>
        <w:ind w:firstLine="628" w:firstLineChars="200"/>
        <w:outlineLvl w:val="1"/>
        <w:rPr>
          <w:rFonts w:ascii="楷体" w:hAnsi="楷体" w:eastAsia="PMingLiU" w:cs="仿宋"/>
          <w:sz w:val="32"/>
          <w:szCs w:val="32"/>
          <w:lang w:val="zh-TW" w:eastAsia="zh-TW"/>
        </w:rPr>
      </w:pPr>
      <w:bookmarkStart w:id="7" w:name="_Hlk5288531"/>
      <w:r>
        <w:rPr>
          <w:rFonts w:hint="eastAsia" w:ascii="楷体" w:hAnsi="楷体" w:eastAsia="楷体" w:cs="仿宋"/>
          <w:sz w:val="32"/>
          <w:szCs w:val="32"/>
          <w:lang w:val="zh-TW" w:eastAsia="zh-TW"/>
        </w:rPr>
        <w:t>（四）开展国际交流合作</w:t>
      </w:r>
    </w:p>
    <w:bookmarkEnd w:id="7"/>
    <w:p>
      <w:pPr>
        <w:rPr>
          <w:rFonts w:hint="eastAsia" w:eastAsia="仿宋_GB2312"/>
          <w:spacing w:val="0"/>
          <w:kern w:val="32"/>
          <w:lang w:val="en-US" w:eastAsia="zh-CN"/>
        </w:rPr>
      </w:pPr>
      <w:r>
        <w:rPr>
          <w:rFonts w:hint="eastAsia" w:ascii="仿宋_GB2312" w:hAnsi="宋体-1803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-18030" w:eastAsia="仿宋_GB2312"/>
          <w:sz w:val="32"/>
          <w:szCs w:val="32"/>
          <w:lang w:val="zh-TW" w:eastAsia="zh-TW"/>
        </w:rPr>
        <w:t>依托世界机器人大会、中关村论坛、科博会等重要活动，打造国际一流的机器人产业交流合作平台，吸引聚集全球高端要素资源，加大对北京机器人产业政策的宣传力度，积极推动国际组织、企业和机构在京落户。支持企业在海外设立研发中心、参与国际间合作项目。</w:t>
      </w:r>
    </w:p>
    <w:p>
      <w:pPr>
        <w:rPr>
          <w:rFonts w:hint="eastAsia" w:eastAsia="仿宋_GB2312"/>
          <w:spacing w:val="0"/>
          <w:kern w:val="32"/>
          <w:lang w:val="en-US" w:eastAsia="zh-CN"/>
        </w:rPr>
      </w:pPr>
    </w:p>
    <w:p>
      <w:pPr>
        <w:rPr>
          <w:rFonts w:hint="eastAsia" w:eastAsia="仿宋_GB2312"/>
          <w:spacing w:val="0"/>
          <w:kern w:val="32"/>
          <w:lang w:val="en-US" w:eastAsia="zh-CN"/>
        </w:rPr>
      </w:pPr>
    </w:p>
    <w:p>
      <w:pPr>
        <w:rPr>
          <w:rFonts w:hint="eastAsia" w:eastAsia="仿宋_GB2312"/>
          <w:spacing w:val="0"/>
          <w:kern w:val="32"/>
          <w:lang w:val="en-US" w:eastAsia="zh-CN"/>
        </w:rPr>
      </w:pPr>
    </w:p>
    <w:p>
      <w:pPr>
        <w:rPr>
          <w:rFonts w:hint="eastAsia" w:eastAsia="仿宋_GB2312"/>
          <w:spacing w:val="0"/>
          <w:kern w:val="32"/>
          <w:lang w:val="en-US" w:eastAsia="zh-CN"/>
        </w:rPr>
      </w:pPr>
      <w:bookmarkStart w:id="8" w:name="_GoBack"/>
      <w:bookmarkEnd w:id="8"/>
    </w:p>
    <w:sectPr>
      <w:footerReference r:id="rId3" w:type="default"/>
      <w:footerReference r:id="rId4" w:type="even"/>
      <w:pgSz w:w="11906" w:h="16838"/>
      <w:pgMar w:top="2097" w:right="1474" w:bottom="1984" w:left="1587" w:header="851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AndChars" w:linePitch="590" w:charSpace="122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微软雅黑"/>
    <w:panose1 w:val="02000000000000000000"/>
    <w:charset w:val="00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2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仿宋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宋体-18030">
    <w:altName w:val="宋体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PingFang SC Ultralight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spacing w:line="420" w:lineRule="auto"/>
      <w:ind w:right="308" w:rightChars="100"/>
      <w:jc w:val="right"/>
      <w:rPr>
        <w:rFonts w:hint="eastAsia" w:ascii="楷体_GB2312" w:eastAsia="楷体_GB2312"/>
        <w:sz w:val="28"/>
      </w:rPr>
    </w:pPr>
    <w:r>
      <w:rPr>
        <w:rStyle w:val="9"/>
        <w:rFonts w:hint="eastAsia" w:ascii="宋体" w:hAnsi="宋体" w:eastAsia="宋体"/>
        <w:sz w:val="28"/>
      </w:rPr>
      <w:t xml:space="preserve">— </w:t>
    </w:r>
    <w:r>
      <w:rPr>
        <w:rFonts w:hint="eastAsia" w:ascii="宋体" w:hAnsi="宋体" w:eastAsia="宋体"/>
        <w:sz w:val="28"/>
      </w:rPr>
      <w:fldChar w:fldCharType="begin"/>
    </w:r>
    <w:r>
      <w:rPr>
        <w:rStyle w:val="9"/>
        <w:rFonts w:hint="eastAsia" w:ascii="宋体" w:hAnsi="宋体" w:eastAsia="宋体"/>
        <w:sz w:val="28"/>
      </w:rPr>
      <w:instrText xml:space="preserve"> PAGE </w:instrText>
    </w:r>
    <w:r>
      <w:rPr>
        <w:rFonts w:hint="eastAsia" w:ascii="宋体" w:hAnsi="宋体" w:eastAsia="宋体"/>
        <w:sz w:val="28"/>
      </w:rPr>
      <w:fldChar w:fldCharType="separate"/>
    </w:r>
    <w:r>
      <w:rPr>
        <w:rStyle w:val="9"/>
        <w:rFonts w:hint="eastAsia" w:ascii="宋体" w:hAnsi="宋体" w:eastAsia="宋体"/>
        <w:sz w:val="28"/>
      </w:rPr>
      <w:t>1</w:t>
    </w:r>
    <w:r>
      <w:rPr>
        <w:rFonts w:hint="eastAsia" w:ascii="宋体" w:hAnsi="宋体" w:eastAsia="宋体"/>
        <w:sz w:val="28"/>
      </w:rPr>
      <w:fldChar w:fldCharType="end"/>
    </w:r>
    <w:r>
      <w:rPr>
        <w:rFonts w:hint="eastAsia" w:ascii="宋体" w:hAnsi="宋体" w:eastAsia="宋体"/>
        <w:sz w:val="28"/>
      </w:rPr>
      <w:t xml:space="preserve"> </w:t>
    </w:r>
    <w:r>
      <w:rPr>
        <w:rStyle w:val="9"/>
        <w:rFonts w:hint="eastAsia" w:ascii="宋体" w:hAnsi="宋体" w:eastAsia="宋体"/>
        <w:sz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420" w:lineRule="auto"/>
      <w:ind w:left="308" w:leftChars="100"/>
      <w:rPr>
        <w:rStyle w:val="9"/>
        <w:rFonts w:hint="eastAsia" w:ascii="宋体" w:hAnsi="宋体" w:eastAsia="宋体"/>
        <w:sz w:val="28"/>
      </w:rPr>
    </w:pPr>
    <w:r>
      <w:rPr>
        <w:rStyle w:val="9"/>
        <w:rFonts w:hint="eastAsia" w:ascii="宋体" w:hAnsi="宋体" w:eastAsia="宋体"/>
        <w:sz w:val="28"/>
      </w:rPr>
      <w:t xml:space="preserve">— </w:t>
    </w:r>
    <w:r>
      <w:rPr>
        <w:rFonts w:hint="eastAsia" w:ascii="宋体" w:hAnsi="宋体" w:eastAsia="宋体"/>
        <w:sz w:val="28"/>
      </w:rPr>
      <w:fldChar w:fldCharType="begin"/>
    </w:r>
    <w:r>
      <w:rPr>
        <w:rStyle w:val="9"/>
        <w:rFonts w:hint="eastAsia" w:ascii="宋体" w:hAnsi="宋体" w:eastAsia="宋体"/>
        <w:sz w:val="28"/>
      </w:rPr>
      <w:instrText xml:space="preserve"> PAGE </w:instrText>
    </w:r>
    <w:r>
      <w:rPr>
        <w:rFonts w:hint="eastAsia" w:ascii="宋体" w:hAnsi="宋体" w:eastAsia="宋体"/>
        <w:sz w:val="28"/>
      </w:rPr>
      <w:fldChar w:fldCharType="separate"/>
    </w:r>
    <w:r>
      <w:rPr>
        <w:rStyle w:val="9"/>
        <w:rFonts w:hint="eastAsia" w:ascii="宋体" w:hAnsi="宋体" w:eastAsia="宋体"/>
        <w:sz w:val="28"/>
      </w:rPr>
      <w:t>2</w:t>
    </w:r>
    <w:r>
      <w:rPr>
        <w:rFonts w:hint="eastAsia" w:ascii="宋体" w:hAnsi="宋体" w:eastAsia="宋体"/>
        <w:sz w:val="28"/>
      </w:rPr>
      <w:fldChar w:fldCharType="end"/>
    </w:r>
    <w:r>
      <w:rPr>
        <w:rFonts w:hint="eastAsia" w:ascii="宋体" w:hAnsi="宋体" w:eastAsia="宋体"/>
        <w:sz w:val="28"/>
      </w:rPr>
      <w:t xml:space="preserve"> </w:t>
    </w:r>
    <w:r>
      <w:rPr>
        <w:rStyle w:val="9"/>
        <w:rFonts w:hint="eastAsia" w:ascii="宋体" w:hAnsi="宋体" w:eastAsia="宋体"/>
        <w:sz w:val="28"/>
      </w:rPr>
      <w:t>—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 w:tentative="0">
      <w:start w:val="1"/>
      <w:numFmt w:val="chineseCountingThousand"/>
      <w:pStyle w:val="12"/>
      <w:suff w:val="space"/>
      <w:lvlText w:val="第%1章"/>
      <w:lvlJc w:val="left"/>
      <w:pPr>
        <w:ind w:left="0" w:firstLine="454"/>
      </w:pPr>
      <w:rPr>
        <w:rFonts w:hint="eastAsia" w:eastAsia="方正黑体_GBK"/>
        <w:color w:val="auto"/>
      </w:rPr>
    </w:lvl>
    <w:lvl w:ilvl="1" w:tentative="0">
      <w:start w:val="1"/>
      <w:numFmt w:val="chineseCountingThousand"/>
      <w:suff w:val="space"/>
      <w:lvlText w:val="第%2条"/>
      <w:lvlJc w:val="left"/>
      <w:pPr>
        <w:ind w:left="0" w:firstLine="0"/>
      </w:pPr>
      <w:rPr>
        <w:rFonts w:hint="eastAsia" w:eastAsia="方正黑体_GBK"/>
        <w:color w:val="auto"/>
      </w:rPr>
    </w:lvl>
    <w:lvl w:ilvl="2" w:tentative="0">
      <w:start w:val="1"/>
      <w:numFmt w:val="chineseCountingThousand"/>
      <w:suff w:val="space"/>
      <w:lvlText w:val="第%3条"/>
      <w:lvlJc w:val="left"/>
      <w:pPr>
        <w:ind w:left="0" w:firstLine="454"/>
      </w:pPr>
      <w:rPr>
        <w:rFonts w:hint="eastAsia"/>
        <w:color w:val="auto"/>
      </w:rPr>
    </w:lvl>
    <w:lvl w:ilvl="3" w:tentative="0">
      <w:start w:val="1"/>
      <w:numFmt w:val="chineseCountingThousand"/>
      <w:suff w:val="space"/>
      <w:lvlText w:val="（%4）"/>
      <w:lvlJc w:val="left"/>
      <w:pPr>
        <w:ind w:left="0" w:firstLine="340"/>
      </w:pPr>
      <w:rPr>
        <w:rFonts w:hint="eastAsia"/>
        <w:color w:val="auto"/>
      </w:rPr>
    </w:lvl>
    <w:lvl w:ilvl="4" w:tentative="0">
      <w:start w:val="1"/>
      <w:numFmt w:val="decimal"/>
      <w:suff w:val="space"/>
      <w:lvlText w:val="%5．"/>
      <w:lvlJc w:val="left"/>
      <w:pPr>
        <w:ind w:left="0" w:firstLine="454"/>
      </w:pPr>
      <w:rPr>
        <w:rFonts w:hint="eastAsia"/>
        <w:color w:val="auto"/>
      </w:rPr>
    </w:lvl>
    <w:lvl w:ilvl="5" w:tentative="0">
      <w:start w:val="1"/>
      <w:numFmt w:val="decimal"/>
      <w:suff w:val="space"/>
      <w:lvlText w:val="（%6）"/>
      <w:lvlJc w:val="left"/>
      <w:pPr>
        <w:ind w:left="0" w:firstLine="340"/>
      </w:pPr>
      <w:rPr>
        <w:rFonts w:hint="eastAsia"/>
        <w:color w:val="auto"/>
      </w:rPr>
    </w:lvl>
    <w:lvl w:ilvl="6" w:tentative="0">
      <w:start w:val="1"/>
      <w:numFmt w:val="decimalEnclosedCircle"/>
      <w:suff w:val="space"/>
      <w:lvlText w:val="%7 "/>
      <w:lvlJc w:val="left"/>
      <w:pPr>
        <w:ind w:left="0" w:firstLine="454"/>
      </w:pPr>
      <w:rPr>
        <w:rFonts w:hint="eastAsia"/>
        <w:color w:val="auto"/>
      </w:rPr>
    </w:lvl>
    <w:lvl w:ilvl="7" w:tentative="0">
      <w:start w:val="1"/>
      <w:numFmt w:val="decimal"/>
      <w:suff w:val="space"/>
      <w:lvlText w:val="%8）"/>
      <w:lvlJc w:val="left"/>
      <w:pPr>
        <w:ind w:left="0" w:firstLine="454"/>
      </w:pPr>
      <w:rPr>
        <w:rFonts w:hint="eastAsia"/>
        <w:color w:val="auto"/>
      </w:rPr>
    </w:lvl>
    <w:lvl w:ilvl="8" w:tentative="0">
      <w:start w:val="1"/>
      <w:numFmt w:val="none"/>
      <w:suff w:val="space"/>
      <w:lvlText w:val="a．"/>
      <w:lvlJc w:val="left"/>
      <w:pPr>
        <w:ind w:left="0" w:firstLine="454"/>
      </w:pPr>
      <w:rPr>
        <w:rFonts w:hint="eastAsia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mirrorMargins w:val="1"/>
  <w:bordersDoNotSurroundHeader w:val="0"/>
  <w:bordersDoNotSurroundFooter w:val="0"/>
  <w:attachedTemplate r:id="rId1"/>
  <w:documentProtection w:enforcement="0"/>
  <w:defaultTabStop w:val="720"/>
  <w:hyphenationZone w:val="360"/>
  <w:evenAndOddHeaders w:val="1"/>
  <w:drawingGridHorizontalSpacing w:val="0"/>
  <w:drawingGridVerticalSpacing w:val="295"/>
  <w:displayHorizontalDrawingGridEvery w:val="1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iDocStyle" w:val="2"/>
  </w:docVars>
  <w:rsids>
    <w:rsidRoot w:val="48F84C79"/>
    <w:rsid w:val="18F32BDD"/>
    <w:rsid w:val="20086E47"/>
    <w:rsid w:val="319B46D3"/>
    <w:rsid w:val="3EE78C3F"/>
    <w:rsid w:val="48F84C79"/>
    <w:rsid w:val="8BBD0F26"/>
    <w:rsid w:val="8DFB4A39"/>
    <w:rsid w:val="B3F7CDC7"/>
    <w:rsid w:val="F7EF0548"/>
    <w:rsid w:val="FAA5CBE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240" w:lineRule="atLeast"/>
      <w:jc w:val="both"/>
    </w:pPr>
    <w:rPr>
      <w:rFonts w:ascii="Times New Roman" w:hAnsi="Times New Roman" w:eastAsia="仿宋_GB2312" w:cs="Times New Roman"/>
      <w:spacing w:val="-6"/>
      <w:kern w:val="2"/>
      <w:sz w:val="32"/>
      <w:lang w:val="en-US" w:eastAsia="zh-CN"/>
    </w:rPr>
  </w:style>
  <w:style w:type="paragraph" w:styleId="3">
    <w:name w:val="heading 1"/>
    <w:basedOn w:val="1"/>
    <w:next w:val="1"/>
    <w:qFormat/>
    <w:uiPriority w:val="0"/>
    <w:pPr>
      <w:spacing w:before="100" w:beforeLines="0" w:beforeAutospacing="1" w:after="100" w:afterLines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-SA"/>
    </w:rPr>
  </w:style>
  <w:style w:type="character" w:default="1" w:styleId="7">
    <w:name w:val="Default Paragraph Font"/>
    <w:link w:val="8"/>
    <w:qFormat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3"/>
    <w:qFormat/>
    <w:uiPriority w:val="0"/>
    <w:rPr>
      <w:rFonts w:ascii="黑体" w:hAnsi="黑体"/>
      <w:sz w:val="32"/>
      <w:szCs w:val="32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sz w:val="20"/>
    </w:rPr>
  </w:style>
  <w:style w:type="paragraph" w:styleId="6">
    <w:name w:val="header"/>
    <w:basedOn w:val="1"/>
    <w:qFormat/>
    <w:uiPriority w:val="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sz w:val="20"/>
    </w:rPr>
  </w:style>
  <w:style w:type="paragraph" w:customStyle="1" w:styleId="8">
    <w:name w:val="_Style 4"/>
    <w:basedOn w:val="1"/>
    <w:link w:val="7"/>
    <w:qFormat/>
    <w:uiPriority w:val="0"/>
    <w:pPr>
      <w:tabs>
        <w:tab w:val="left" w:pos="432"/>
      </w:tabs>
      <w:spacing w:line="400" w:lineRule="exact"/>
      <w:ind w:left="432" w:hanging="432"/>
    </w:pPr>
  </w:style>
  <w:style w:type="character" w:styleId="9">
    <w:name w:val="page number"/>
    <w:basedOn w:val="7"/>
    <w:qFormat/>
    <w:uiPriority w:val="0"/>
  </w:style>
  <w:style w:type="character" w:styleId="10">
    <w:name w:val="line number"/>
    <w:basedOn w:val="7"/>
    <w:qFormat/>
    <w:uiPriority w:val="0"/>
  </w:style>
  <w:style w:type="paragraph" w:customStyle="1" w:styleId="12">
    <w:name w:val="居中"/>
    <w:basedOn w:val="1"/>
    <w:qFormat/>
    <w:uiPriority w:val="0"/>
    <w:pPr>
      <w:numPr>
        <w:ilvl w:val="0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ome\admin\C:\Users\user\AppData\Roaming\Kingsoft\office6\templates\wps\&#19979;&#34892;&#25991;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下行文.wpt</Template>
  <Pages>2</Pages>
  <Words>479</Words>
  <Characters>492</Characters>
  <Lines>4</Lines>
  <Paragraphs>1</Paragraphs>
  <TotalTime>27</TotalTime>
  <ScaleCrop>false</ScaleCrop>
  <LinksUpToDate>false</LinksUpToDate>
  <CharactersWithSpaces>503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2017-08-29T11:42:00Z</dcterms:created>
  <dc:creator>程坤</dc:creator>
  <cp:lastModifiedBy>乔冰</cp:lastModifiedBy>
  <cp:lastPrinted>2019-12-19T02:08:00Z</cp:lastPrinted>
  <dcterms:modified xsi:type="dcterms:W3CDTF">2019-12-20T02:16:34Z</dcterms:modified>
  <dc:title>No:0000001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