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kern w:val="0"/>
          <w:sz w:val="40"/>
          <w:szCs w:val="40"/>
          <w:shd w:val="clear" w:fill="FFFFFF"/>
          <w:lang w:val="en-US" w:eastAsia="zh-CN" w:bidi="ar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kern w:val="0"/>
          <w:sz w:val="40"/>
          <w:szCs w:val="40"/>
          <w:shd w:val="clear" w:fill="FFFFFF"/>
          <w:lang w:val="en-US" w:eastAsia="zh-CN" w:bidi="ar"/>
        </w:rPr>
        <w:t>第二十一批南京市认定企业技术中心名单公示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kern w:val="0"/>
          <w:sz w:val="40"/>
          <w:szCs w:val="40"/>
          <w:shd w:val="clear" w:fill="FFFFFF"/>
          <w:lang w:val="en-US" w:eastAsia="zh-CN" w:bidi="ar"/>
        </w:rPr>
      </w:pPr>
    </w:p>
    <w:tbl>
      <w:tblPr>
        <w:tblStyle w:val="2"/>
        <w:tblW w:w="896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78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江苏中路交通科学技术有限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江苏铨铨信息科技有限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江苏博睿光电有限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南京贝迪电子有限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光大环境科技（中国）有限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江苏环保产业技术研究院股份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南京康友医疗科技有限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南京环保产业创新中心有限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博西华电器（江苏）有限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南京天创电子技术有限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中铁大桥（南京）桥隧诊治有限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江苏九天高科技股份有限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江苏科邦生态肥有限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南京英尼格玛工业自动化技术有限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江苏大地益源环境修复有限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南京东屋电气有限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江苏电无忧电气技术服务有限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长江南京航道工程局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数中心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南京华兴压力容器制造有限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南京恒天领锐汽车有限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南京慧尔视智能科技有限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南京海润医药有限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中铁十五局集团路桥建设有限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桑德斯微电子器件（南京）有限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中铁大桥局集团第二工程有限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南京蓝泰交通设施有限责任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南京汇川图像视觉技术有限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江苏天美健大自然生物工程有限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江苏塔菲尔新能源科技股份有限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南京高正农用化工有限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南京卫岗乳业有限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南京洛普科技有限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南京轩凯生物科技有限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南京市比亚迪汽车有限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汉桑（南京）科技有限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瑞仪光电（南京）有限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南京海泰医疗信息系统有限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南京曙光精细化工有限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南京工大建设工程技术有限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南京睿实消防安全设备有限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南京优科制药有限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南京悠阔电气科技有限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南京鸿发有色金属制造股份有限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苏宁消费金融有限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南京索酷信息科技股份有限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南京国睿信维软件有限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南京亿高微波系统工程有限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江苏康龙医药有限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江苏南工科技集团有限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南京中钞长城金融设备有限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南京首勤特种材料有限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江苏翔晟信息技术股份有限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南京枫叶能源设备有限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矽柏（南京）信息技术有限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南京维拓科技股份有限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南京越博电驱动系统有限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南京中拓科技有限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中储南京智慧物流科技有限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南京擎盾信息科技有限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南京市腾阳机械有限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南京开关厂有限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江苏省新通智能交通科技发展有限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南京大全变压器有限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江苏本川智能电路科技股份有限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南京普天大唐信息电子有限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南京沃天科技有限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南京白云环境科技集团股份有限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众能联合数字技术有限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江苏星网软件有限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南京佳盛机电器材制造有限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南京东华传动轴有限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江苏肯立科技股份有限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南京感动科技有限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南京普天天纪楼宇智能有限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南京亿华药业有限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南京森根科技发展有限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南京海兴电网技术有限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南京市浦口区天和自动化设备有限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南京安元科技有限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南京茂莱光学科技股份有限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南京电气绝缘子有限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南京冠佳科技有限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南京迦南比逊科技有限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江苏常宁电子有限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江苏久鑫铜业有限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南京华捷艾米软件科技有限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南京物联传感技术有限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南京红宝丽聚氨酯有限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江苏贯通电气科技有限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南京云信达科技有限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美埃（中国）环境净化有限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南京时恒电子科技有限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江苏平山交通设施有限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江苏大全高压开关有限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南京亚太嘉园智慧空间营造有限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南京国林数控机械制造有限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南京恒翔保温材料制造有限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南京高崎电机有限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江苏金盾检测技术有限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江苏骏环昇旺科技产业股份有限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南京华德仓储设备制造有限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南京航天工业科技有限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江苏南极星新能源技术股份有限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迈拓仪表股份有限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南京风电科技有限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佳源科技有限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江苏达科云数据科技有限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和鼎（南京）医药技术有限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南京金城三国机械电子有限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110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南京控特电机股份有限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111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南京市嘉隆电气科技有限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112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南京六和普什机械有限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113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南京赛宁信息技术有限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114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江苏其厚智能电气设备有限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115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南京分布文化发展有限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116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南京我乐定制家具有限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117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江苏银泰电气科技有限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118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南京振兴新能源发展有限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119</w:t>
            </w:r>
          </w:p>
        </w:tc>
        <w:tc>
          <w:tcPr>
            <w:tcW w:w="7881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江苏长诺运动场地新材料有限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公司技术中心</w:t>
            </w:r>
          </w:p>
        </w:tc>
      </w:tr>
    </w:tbl>
    <w:p>
      <w:pPr>
        <w:keepNext w:val="0"/>
        <w:keepLines w:val="0"/>
        <w:widowControl/>
        <w:suppressLineNumbers w:val="0"/>
        <w:jc w:val="center"/>
        <w:rPr>
          <w:rFonts w:hint="default" w:ascii="方正小标宋_GBK" w:hAnsi="方正小标宋_GBK" w:eastAsia="方正小标宋_GBK" w:cs="方正小标宋_GBK"/>
          <w:b w:val="0"/>
          <w:bCs/>
          <w:i w:val="0"/>
          <w:caps w:val="0"/>
          <w:color w:val="auto"/>
          <w:spacing w:val="0"/>
          <w:kern w:val="0"/>
          <w:sz w:val="40"/>
          <w:szCs w:val="40"/>
          <w:shd w:val="clear" w:fill="FFFFFF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6819C6"/>
    <w:rsid w:val="4B6819C6"/>
    <w:rsid w:val="590A4709"/>
    <w:rsid w:val="74A53C6A"/>
    <w:rsid w:val="76BA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2019-12-31T01:19:00Z</dcterms:created>
  <dc:creator>Fatima</dc:creator>
  <cp:lastModifiedBy>ÝÞ</cp:lastModifiedBy>
  <dcterms:modified xsi:type="dcterms:W3CDTF">2020-01-02T01:38:49Z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