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362"/>
        <w:gridCol w:w="3539"/>
        <w:gridCol w:w="4408"/>
        <w:gridCol w:w="2396"/>
        <w:gridCol w:w="871"/>
      </w:tblGrid>
      <w:tr>
        <w:trPr>
          <w:trHeight w:val="758" w:hRule="atLeast"/>
          <w:tblHeader/>
        </w:trPr>
        <w:tc>
          <w:tcPr>
            <w:tcW w:w="13275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RANGE!A2:D53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甘肃省2019年重大技术装备首台套（新材料首批次）产品</w:t>
            </w:r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通过评审认定名单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rPr>
          <w:trHeight w:val="758" w:hRule="atLeast"/>
          <w:tblHeader/>
        </w:trPr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制造单位</w:t>
            </w:r>
          </w:p>
        </w:tc>
        <w:tc>
          <w:tcPr>
            <w:tcW w:w="3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首台套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(首批次</w:t>
            </w:r>
            <w:bookmarkStart w:id="1" w:name="_GoBack"/>
            <w:bookmarkEnd w:id="1"/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)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4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产品购买使用单位</w:t>
            </w:r>
          </w:p>
        </w:tc>
        <w:tc>
          <w:tcPr>
            <w:tcW w:w="23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产品销售价格（万元）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数量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3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天水锻压机床（集团）有限公司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数控前送料重型剪切生产线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山东华星耐磨钢有限公司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180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3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大吨位框架式双缸数控成形机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山东宝华耐磨钢有限公司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850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天水星火机床有限责任公司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全自动数控轧锟磨床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海美剪折机床（上海）有限公司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398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天水星火机床有限责任公司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大型烘缸数控多功能加工机床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沈阳中盛机床销售有限公司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350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天水电气传动研究所集团有限公司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ZJ70/4500DB陆地钻机电控系统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泰国王牌钻井公司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1008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　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天水华圆制药设备科技有限责任公司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扣壳蘸蜡机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山西华康药业股份有限公司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75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白银有色长通电线电缆有限责任公司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超微细电磁线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宁波市镇海盛通电工材料有限公司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一批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兰州兰石石油装备工程股份有限公司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9000米直流超深井钻机的研制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新疆派特罗尔能源服务股份有限公司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2705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兰州兰石重工有限公司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3000t热成型油压机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江苏铁信再生资源科技有限公司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425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兰州兰石能源装备工程研究院有限公司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63MN自由锻造液压机组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无锡宏达重工股份有限公司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4350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/>
              </w:rPr>
              <w:t>1</w:t>
            </w:r>
          </w:p>
        </w:tc>
      </w:tr>
      <w:tr>
        <w:trPr>
          <w:trHeight w:val="470" w:hRule="atLeast"/>
        </w:trPr>
        <w:tc>
          <w:tcPr>
            <w:tcW w:w="5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兰州兰泵有限公司</w:t>
            </w:r>
          </w:p>
        </w:tc>
        <w:tc>
          <w:tcPr>
            <w:tcW w:w="35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HDM型重型石油化工流程泵</w:t>
            </w:r>
          </w:p>
        </w:tc>
        <w:tc>
          <w:tcPr>
            <w:tcW w:w="4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内蒙古伊泰化工有限责任公司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300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一套　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5">
    <w:name w:val="页眉 Char Char"/>
    <w:basedOn w:val="4"/>
    <w:link w:val="3"/>
    <w:uiPriority w:val="99"/>
    <w:rPr>
      <w:rFonts w:ascii="Calibri" w:hAnsi="Calibri" w:eastAsia="宋体"/>
      <w:kern w:val="2"/>
      <w:sz w:val="18"/>
      <w:szCs w:val="18"/>
    </w:rPr>
  </w:style>
  <w:style w:type="character" w:customStyle="1" w:styleId="6">
    <w:name w:val="页脚 Char Char"/>
    <w:basedOn w:val="4"/>
    <w:link w:val="2"/>
    <w:uiPriority w:val="99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92</Words>
  <Characters>530</Characters>
  <Lines>4</Lines>
  <Paragraphs>1</Paragraphs>
  <ScaleCrop>false</ScaleCrop>
  <LinksUpToDate>false</LinksUpToDate>
  <CharactersWithSpaces>0</CharactersWithSpaces>
  <Application>WPS Office 专业版_9.1.0.4337_{F1E327BC-269C-435d-A152-05C5408002CA}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2019-11-21T09:48:00Z</dcterms:created>
  <dc:creator>微软用户</dc:creator>
  <cp:lastModifiedBy>gcy</cp:lastModifiedBy>
  <cp:lastPrinted>2019-11-21T07:27:00Z</cp:lastPrinted>
  <dcterms:modified xsi:type="dcterms:W3CDTF">2019-11-21T09:53:33Z</dcterms:modified>
  <dc:title>甘肃省2019年重大技术装备首台套（新材料首批次）产品通过评审认定名单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2052-9.1.0.4337</vt:lpwstr>
  </property>
</Properties>
</file>