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2DEE7">
      <w:pPr>
        <w:pStyle w:val="3"/>
        <w:ind w:firstLine="0" w:firstLineChars="0"/>
        <w:rPr>
          <w:rFonts w:hint="eastAsia" w:ascii="黑体" w:hAnsi="黑体" w:eastAsia="黑体" w:cs="黑体"/>
          <w:color w:val="070707"/>
          <w:kern w:val="0"/>
          <w:szCs w:val="32"/>
          <w:lang w:eastAsia="zh-CN"/>
        </w:rPr>
      </w:pPr>
      <w:r>
        <w:rPr>
          <w:rFonts w:hint="eastAsia" w:ascii="黑体" w:hAnsi="黑体" w:eastAsia="黑体" w:cs="黑体"/>
          <w:color w:val="070707"/>
          <w:kern w:val="0"/>
          <w:szCs w:val="32"/>
        </w:rPr>
        <w:t>附件</w:t>
      </w:r>
      <w:r>
        <w:rPr>
          <w:rFonts w:hint="eastAsia" w:ascii="黑体" w:hAnsi="黑体" w:eastAsia="黑体" w:cs="黑体"/>
          <w:color w:val="070707"/>
          <w:kern w:val="0"/>
          <w:szCs w:val="32"/>
          <w:lang w:val="en-US" w:eastAsia="zh-CN"/>
        </w:rPr>
        <w:t>2</w:t>
      </w:r>
    </w:p>
    <w:p w14:paraId="15AA0E8F">
      <w:pPr>
        <w:pStyle w:val="3"/>
        <w:overflowPunct w:val="0"/>
        <w:spacing w:before="287" w:beforeLines="50" w:after="287" w:afterLines="50" w:line="46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bidi="ar"/>
        </w:rPr>
        <w:t>山东省工业互联网优秀安全解决方案</w:t>
      </w:r>
    </w:p>
    <w:p w14:paraId="21038045">
      <w:pPr>
        <w:pStyle w:val="3"/>
        <w:overflowPunct w:val="0"/>
        <w:spacing w:before="287" w:beforeLines="50" w:after="287" w:afterLines="50" w:line="460" w:lineRule="exact"/>
        <w:ind w:firstLine="0" w:firstLineChars="0"/>
        <w:jc w:val="center"/>
        <w:rPr>
          <w:rFonts w:hint="eastAsia" w:ascii="黑体" w:hAnsi="黑体" w:eastAsia="黑体" w:cs="黑体"/>
          <w:color w:val="0F1115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bidi="ar"/>
        </w:rPr>
        <w:t>征集方向说明</w:t>
      </w:r>
    </w:p>
    <w:bookmarkEnd w:id="0"/>
    <w:p w14:paraId="01564DBE">
      <w:pPr>
        <w:pStyle w:val="2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ascii="黑体" w:hAnsi="黑体" w:eastAsia="黑体" w:cs="黑体"/>
          <w:b w:val="0"/>
          <w:bCs w:val="0"/>
          <w:color w:val="0F1115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  <w:t>一、人工智能安全</w:t>
      </w:r>
    </w:p>
    <w:p w14:paraId="1F5BCD72">
      <w:pPr>
        <w:pStyle w:val="4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面向人工智能技术在工业研发设计、生产制造、运营管理等环节深度应用带来的新型安全风险，聚焦人工智能模型与数据的安全防护、对抗性攻击防御、算法伦理与合规性保障、人工智能赋能网络安全及安全赋能人工智能双向融合等关键领域，征集在工业场景中具备可验证性、可复制性的人工智能安全解决方案。重点鼓励以人工智能技术提升安全风险识别、威胁预警与处置响应能力的创新实践。</w:t>
      </w:r>
    </w:p>
    <w:p w14:paraId="57B91235">
      <w:pPr>
        <w:pStyle w:val="2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</w:pPr>
      <w:r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  <w:t>二、物联网安全</w:t>
      </w:r>
    </w:p>
    <w:p w14:paraId="31E461B7">
      <w:pPr>
        <w:pStyle w:val="4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围绕物联网中海量终端设备接入、异构网络互联、边缘节点部署等特点，聚焦物联网设备身份认证、固件安全、通信加密、漏洞管理、异常行为监测等关键环节，征集覆盖终端、网络、平台、应用全链条的物联网安全防护方案。鼓励面向重点行业（如化工、电力、矿山等）构建轻量化、可扩展的物联网安全管控体系，提升大规模设备接入场景下的安全态势感知与主动防御能力。</w:t>
      </w:r>
    </w:p>
    <w:p w14:paraId="7CA75ECC">
      <w:pPr>
        <w:pStyle w:val="2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</w:pPr>
      <w:r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  <w:t>三、5G+工业互联网安全</w:t>
      </w:r>
    </w:p>
    <w:p w14:paraId="31A54A41">
      <w:pPr>
        <w:pStyle w:val="4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面向5G与工业互联网深度融合过程中网络架构复杂化、边界模糊化、业务场景多样化等新挑战，聚焦5G专网安全隔离、网络切片安全、边缘计算节点防护、无线接入安全、端到端加密与信任体系构建、SaaS化网络安全赋能等方向，征集在工业制造、智慧港口、智慧矿山等典型场景中形成成熟应用的5G+工业互联网安全解决方案。鼓励探索基于零信任架构的5G安全防护体系与跨域协同联防机制。</w:t>
      </w:r>
    </w:p>
    <w:p w14:paraId="47BE3944">
      <w:pPr>
        <w:pStyle w:val="2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</w:pPr>
      <w:r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  <w:t>四、工业数据安全</w:t>
      </w:r>
    </w:p>
    <w:p w14:paraId="7B821A3C">
      <w:pPr>
        <w:pStyle w:val="4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聚焦工业企业在数据采集、汇聚、传输、存储、加工、共享、流通全生命周期中的安全痛点，特别是核心工艺数据、供应链数据、商业敏感数据等重点数据资产的安全防护需求，征集涵盖数据分类分级、数据加密、数据脱敏、访问控制、数据防泄漏、跨境数据流动合规等关键能力的解决方案。鼓励推动数据安全与业务系统深度融合，构建覆盖“数据全链路”的安全治理体系。</w:t>
      </w:r>
    </w:p>
    <w:p w14:paraId="1236D1F2">
      <w:pPr>
        <w:pStyle w:val="2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</w:pPr>
      <w:r>
        <w:rPr>
          <w:rFonts w:ascii="黑体" w:hAnsi="黑体" w:eastAsia="黑体" w:cs="黑体"/>
          <w:b w:val="0"/>
          <w:bCs w:val="0"/>
          <w:color w:val="0F1115"/>
          <w:sz w:val="32"/>
          <w:szCs w:val="32"/>
          <w:shd w:val="clear" w:color="auto" w:fill="FFFFFF"/>
        </w:rPr>
        <w:t>五、工业控制系统安全</w:t>
      </w:r>
    </w:p>
    <w:p w14:paraId="35AD31D5">
      <w:pPr>
        <w:pStyle w:val="4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面向工业生产现场控制系统的安全防护需求，聚焦可编程逻辑控制器（PLC）、分布式控制系统（DCS）、数据采集与监视控制系统（SCADA）、工业机器人、具身机器人、数控机床等关键工控系统及组件的安全防护，征集在工业设备内生安全、工控协议解析与异常识别、工控漏洞治理、边界隔离、入侵检测、安全运营等方面的优秀解决方案。重点支持在通信、钢铁、化工、有色、石油、汽车、矿山、电力等重点行业中已验证有效的工控安全一体化建设方案，强化重要工业控制系统的业务连续性与韧性保障。</w:t>
      </w:r>
    </w:p>
    <w:p w14:paraId="788CC49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D906EC"/>
    <w:rsid w:val="5BD9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FangSong_GB2312" w:hAnsi="FangSong_GB2312" w:eastAsia="FangSong_GB2312" w:cs="FangSong_GB2312"/>
      <w:kern w:val="2"/>
      <w:sz w:val="32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0" w:beforeLines="0" w:beforeAutospacing="0" w:after="0" w:afterLines="0" w:afterAutospacing="0" w:line="240" w:lineRule="auto"/>
      <w:jc w:val="center"/>
      <w:outlineLvl w:val="3"/>
    </w:pPr>
    <w:rPr>
      <w:rFonts w:ascii="Arial" w:hAnsi="Arial" w:eastAsia="方正小标宋简体"/>
      <w:b/>
      <w:sz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ind w:firstLine="608" w:firstLineChars="200"/>
    </w:pPr>
    <w:rPr>
      <w:rFonts w:ascii="宋体" w:hAnsi="宋体" w:eastAsia="方正仿宋_GB2312" w:cs="Times New Roman"/>
      <w:sz w:val="32"/>
      <w:szCs w:val="20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2026-04-29T01:59:00Z</dcterms:created>
  <dc:creator>zxcvbnm</dc:creator>
  <cp:lastModifiedBy>zxcvbnm</cp:lastModifiedBy>
  <dcterms:modified xsi:type="dcterms:W3CDTF">2026-04-29T02:00:06Z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01F548770EC7489483F04DB965327972_11</vt:lpwstr>
  </property>
</Properties>
</file>