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2CD" w:rsidRDefault="003212CD" w:rsidP="003212CD">
      <w:pPr>
        <w:spacing w:line="560" w:lineRule="exact"/>
        <w:jc w:val="center"/>
        <w:rPr>
          <w:rFonts w:ascii="方正小标宋简体" w:eastAsia="方正小标宋简体" w:hAnsi="方正小标宋简体" w:cs="方正小标宋简体" w:hint="eastAsia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四川省绿色转型应用场景征集指南</w:t>
      </w:r>
    </w:p>
    <w:p w:rsidR="003212CD" w:rsidRDefault="003212CD" w:rsidP="003212CD">
      <w:pPr>
        <w:spacing w:line="560" w:lineRule="exact"/>
        <w:ind w:firstLineChars="200" w:firstLine="640"/>
        <w:rPr>
          <w:rFonts w:ascii="Times New Roman" w:eastAsia="黑体" w:hAnsi="Times New Roman"/>
          <w:sz w:val="32"/>
          <w:szCs w:val="32"/>
        </w:rPr>
      </w:pP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sz w:val="32"/>
          <w:szCs w:val="32"/>
        </w:rPr>
        <w:t>一</w:t>
      </w:r>
      <w:r>
        <w:rPr>
          <w:rFonts w:ascii="Times New Roman" w:eastAsia="黑体" w:hAnsi="Times New Roman"/>
          <w:sz w:val="32"/>
          <w:szCs w:val="32"/>
        </w:rPr>
        <w:t>、征集范围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工业绿色转型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类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。</w:t>
      </w:r>
      <w:r>
        <w:rPr>
          <w:rFonts w:ascii="Times New Roman" w:eastAsia="仿宋_GB2312" w:hAnsi="Times New Roman"/>
          <w:sz w:val="32"/>
          <w:szCs w:val="32"/>
        </w:rPr>
        <w:t>聚焦钢铁、有色、石化、化工、建材等传统高耗能行业，以及战略性新兴产业，征集工业能效提升、余热余压利用、低碳工艺改造、碳捕集利用与封存（</w:t>
      </w:r>
      <w:r>
        <w:rPr>
          <w:rFonts w:ascii="Times New Roman" w:eastAsia="仿宋_GB2312" w:hAnsi="Times New Roman"/>
          <w:sz w:val="32"/>
          <w:szCs w:val="32"/>
        </w:rPr>
        <w:t>CCUS</w:t>
      </w:r>
      <w:r>
        <w:rPr>
          <w:rFonts w:ascii="Times New Roman" w:eastAsia="仿宋_GB2312" w:hAnsi="Times New Roman"/>
          <w:sz w:val="32"/>
          <w:szCs w:val="32"/>
        </w:rPr>
        <w:t>）、工业固废综合利用、清洁生产推行、数智化绿色管控、绿色供应链构建等应用场景。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城乡建设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类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。</w:t>
      </w:r>
      <w:r>
        <w:rPr>
          <w:rFonts w:ascii="Times New Roman" w:eastAsia="仿宋_GB2312" w:hAnsi="Times New Roman"/>
          <w:sz w:val="32"/>
          <w:szCs w:val="32"/>
        </w:rPr>
        <w:t>征集绿色建筑、超低能耗建筑、建筑光伏一体化（</w:t>
      </w:r>
      <w:r>
        <w:rPr>
          <w:rFonts w:ascii="Times New Roman" w:eastAsia="仿宋_GB2312" w:hAnsi="Times New Roman"/>
          <w:sz w:val="32"/>
          <w:szCs w:val="32"/>
        </w:rPr>
        <w:t>BIPV</w:t>
      </w:r>
      <w:r>
        <w:rPr>
          <w:rFonts w:ascii="Times New Roman" w:eastAsia="仿宋_GB2312" w:hAnsi="Times New Roman"/>
          <w:sz w:val="32"/>
          <w:szCs w:val="32"/>
        </w:rPr>
        <w:t>）、</w:t>
      </w:r>
      <w:r>
        <w:rPr>
          <w:rFonts w:ascii="Times New Roman" w:eastAsia="仿宋_GB2312" w:hAnsi="Times New Roman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光储直柔</w:t>
      </w:r>
      <w:r>
        <w:rPr>
          <w:rFonts w:ascii="Times New Roman" w:eastAsia="仿宋_GB2312" w:hAnsi="Times New Roman"/>
          <w:sz w:val="32"/>
          <w:szCs w:val="32"/>
        </w:rPr>
        <w:t>”</w:t>
      </w:r>
      <w:r>
        <w:rPr>
          <w:rFonts w:ascii="Times New Roman" w:eastAsia="仿宋_GB2312" w:hAnsi="Times New Roman"/>
          <w:sz w:val="32"/>
          <w:szCs w:val="32"/>
        </w:rPr>
        <w:t>技术应用、海绵城市建设、农村人居环境整治、城乡垃圾污水治理、绿色建材规模化应用、低碳社区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园区建设等应用场景，涵盖城乡规划、建设、运营全环节。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交通运输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类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。</w:t>
      </w:r>
      <w:r>
        <w:rPr>
          <w:rFonts w:ascii="Times New Roman" w:eastAsia="仿宋_GB2312" w:hAnsi="Times New Roman"/>
          <w:sz w:val="32"/>
          <w:szCs w:val="32"/>
        </w:rPr>
        <w:t>征集新能源交通工具推广应用、充电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加氢基础设施布局、绿色物流配送、多式联运绿色升级、公路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港口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机场低碳改造、电动船舶应用、可持续航空燃料试点等应用场景，包括城市物流配送、短途重载、中长途干线运输等细分场景。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能源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低碳转型类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。</w:t>
      </w:r>
      <w:r>
        <w:rPr>
          <w:rFonts w:ascii="Times New Roman" w:eastAsia="仿宋_GB2312" w:hAnsi="Times New Roman"/>
          <w:sz w:val="32"/>
          <w:szCs w:val="32"/>
        </w:rPr>
        <w:t>征集非化石能源开发利用（水电、光伏、风电、氢能等）、新型电力系统构建、储能技术应用、绿色微电网建设、电力需求侧管理、化石能源清洁高效利用、</w:t>
      </w:r>
      <w:r>
        <w:rPr>
          <w:rFonts w:ascii="Times New Roman" w:eastAsia="仿宋_GB2312" w:hAnsi="Times New Roman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三改联动</w:t>
      </w:r>
      <w:r>
        <w:rPr>
          <w:rFonts w:ascii="Times New Roman" w:eastAsia="仿宋_GB2312" w:hAnsi="Times New Roman"/>
          <w:sz w:val="32"/>
          <w:szCs w:val="32"/>
        </w:rPr>
        <w:t>”</w:t>
      </w:r>
      <w:r>
        <w:rPr>
          <w:rFonts w:ascii="Times New Roman" w:eastAsia="仿宋_GB2312" w:hAnsi="Times New Roman"/>
          <w:sz w:val="32"/>
          <w:szCs w:val="32"/>
        </w:rPr>
        <w:t>（煤电机组节能降碳、灵活性、供热改造）等应用场景。</w:t>
      </w:r>
      <w:r>
        <w:rPr>
          <w:rFonts w:ascii="Times New Roman" w:eastAsia="仿宋_GB2312" w:hAnsi="Times New Roman"/>
          <w:sz w:val="32"/>
          <w:szCs w:val="32"/>
        </w:rPr>
        <w:t xml:space="preserve">  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lastRenderedPageBreak/>
        <w:t>（五）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资源循环利用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类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。</w:t>
      </w:r>
      <w:r>
        <w:rPr>
          <w:rFonts w:ascii="Times New Roman" w:eastAsia="仿宋_GB2312" w:hAnsi="Times New Roman"/>
          <w:sz w:val="32"/>
          <w:szCs w:val="32"/>
        </w:rPr>
        <w:t>征集工业固废、危废、再生资源综合利用，</w:t>
      </w:r>
      <w:r>
        <w:rPr>
          <w:rFonts w:ascii="Times New Roman" w:eastAsia="仿宋_GB2312" w:hAnsi="Times New Roman" w:hint="eastAsia"/>
          <w:sz w:val="32"/>
          <w:szCs w:val="32"/>
        </w:rPr>
        <w:t>“</w:t>
      </w:r>
      <w:r>
        <w:rPr>
          <w:rFonts w:ascii="Times New Roman" w:eastAsia="仿宋_GB2312" w:hAnsi="Times New Roman"/>
          <w:sz w:val="32"/>
          <w:szCs w:val="32"/>
        </w:rPr>
        <w:t>无废城市</w:t>
      </w:r>
      <w:r>
        <w:rPr>
          <w:rFonts w:ascii="Times New Roman" w:eastAsia="仿宋_GB2312" w:hAnsi="Times New Roman" w:hint="eastAsia"/>
          <w:sz w:val="32"/>
          <w:szCs w:val="32"/>
        </w:rPr>
        <w:t>”“</w:t>
      </w:r>
      <w:r>
        <w:rPr>
          <w:rFonts w:ascii="Times New Roman" w:eastAsia="仿宋_GB2312" w:hAnsi="Times New Roman"/>
          <w:sz w:val="32"/>
          <w:szCs w:val="32"/>
        </w:rPr>
        <w:t>无废企业</w:t>
      </w:r>
      <w:r>
        <w:rPr>
          <w:rFonts w:ascii="Times New Roman" w:eastAsia="仿宋_GB2312" w:hAnsi="Times New Roman" w:hint="eastAsia"/>
          <w:sz w:val="32"/>
          <w:szCs w:val="32"/>
        </w:rPr>
        <w:t>”</w:t>
      </w:r>
      <w:r>
        <w:rPr>
          <w:rFonts w:ascii="Times New Roman" w:eastAsia="仿宋_GB2312" w:hAnsi="Times New Roman"/>
          <w:sz w:val="32"/>
          <w:szCs w:val="32"/>
        </w:rPr>
        <w:t>建设，农业废弃物（秸秆、农膜、畜禽粪污）资源化利用，循环经济产业链构建、节水技术规模化应用、非常规水源利用等应用场景。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（六）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数智绿色融合</w:t>
      </w: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类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。</w:t>
      </w:r>
      <w:r>
        <w:rPr>
          <w:rFonts w:ascii="Times New Roman" w:eastAsia="仿宋_GB2312" w:hAnsi="Times New Roman"/>
          <w:sz w:val="32"/>
          <w:szCs w:val="32"/>
        </w:rPr>
        <w:t>征集工业互联网</w:t>
      </w:r>
      <w:r>
        <w:rPr>
          <w:rFonts w:ascii="Times New Roman" w:eastAsia="仿宋_GB2312" w:hAnsi="Times New Roman"/>
          <w:sz w:val="32"/>
          <w:szCs w:val="32"/>
        </w:rPr>
        <w:t>+</w:t>
      </w:r>
      <w:r>
        <w:rPr>
          <w:rFonts w:ascii="Times New Roman" w:eastAsia="仿宋_GB2312" w:hAnsi="Times New Roman"/>
          <w:sz w:val="32"/>
          <w:szCs w:val="32"/>
        </w:rPr>
        <w:t>绿色低碳融合、能耗在线监测、数字化能效诊断、碳管理与核算系统应用、智慧环保监测、</w:t>
      </w:r>
      <w:r>
        <w:rPr>
          <w:rFonts w:ascii="Times New Roman" w:eastAsia="仿宋_GB2312" w:hAnsi="Times New Roman"/>
          <w:sz w:val="32"/>
          <w:szCs w:val="32"/>
        </w:rPr>
        <w:t>AI</w:t>
      </w:r>
      <w:r>
        <w:rPr>
          <w:rFonts w:ascii="Times New Roman" w:eastAsia="仿宋_GB2312" w:hAnsi="Times New Roman"/>
          <w:sz w:val="32"/>
          <w:szCs w:val="32"/>
        </w:rPr>
        <w:t>算法优化绿色转型流程等应用场景，推动数字技术赋能绿色转型。</w:t>
      </w:r>
      <w:r>
        <w:rPr>
          <w:rFonts w:ascii="Times New Roman" w:eastAsia="仿宋_GB2312" w:hAnsi="Times New Roman"/>
          <w:sz w:val="32"/>
          <w:szCs w:val="32"/>
        </w:rPr>
        <w:t>​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（七）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综合服务类。</w:t>
      </w:r>
      <w:r>
        <w:rPr>
          <w:rFonts w:ascii="Times New Roman" w:eastAsia="仿宋_GB2312" w:hAnsi="Times New Roman"/>
          <w:sz w:val="32"/>
          <w:szCs w:val="32"/>
        </w:rPr>
        <w:t>征集绿色化改造整体解决方案落地、合同能源管理、环境污染第三方治理、绿色项目投融资、绿色技术孵化、政策申报辅导等全流程服务类应用场景，以及政府采购支持绿色低碳发展相关试点场景。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二</w:t>
      </w:r>
      <w:r>
        <w:rPr>
          <w:rFonts w:ascii="Times New Roman" w:eastAsia="黑体" w:hAnsi="Times New Roman" w:hint="eastAsia"/>
          <w:sz w:val="32"/>
          <w:szCs w:val="32"/>
        </w:rPr>
        <w:t>、</w:t>
      </w:r>
      <w:r>
        <w:rPr>
          <w:rFonts w:ascii="Times New Roman" w:eastAsia="黑体" w:hAnsi="Times New Roman"/>
          <w:sz w:val="32"/>
          <w:szCs w:val="32"/>
        </w:rPr>
        <w:t>基本条件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（一）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主体合规。</w:t>
      </w:r>
      <w:r>
        <w:rPr>
          <w:rFonts w:ascii="Times New Roman" w:eastAsia="仿宋_GB2312" w:hAnsi="Times New Roman"/>
          <w:sz w:val="32"/>
          <w:szCs w:val="32"/>
        </w:rPr>
        <w:t>场景申报单位（企业、园区、公共机构、科研院所等）位于四川省内，具有独立法人资格，工商、税务等证照齐全有效，近</w:t>
      </w:r>
      <w:r>
        <w:rPr>
          <w:rFonts w:ascii="Times New Roman" w:eastAsia="仿宋_GB2312" w:hAnsi="Times New Roman"/>
          <w:sz w:val="32"/>
          <w:szCs w:val="32"/>
        </w:rPr>
        <w:t>3</w:t>
      </w:r>
      <w:r>
        <w:rPr>
          <w:rFonts w:ascii="Times New Roman" w:eastAsia="仿宋_GB2312" w:hAnsi="Times New Roman"/>
          <w:sz w:val="32"/>
          <w:szCs w:val="32"/>
        </w:rPr>
        <w:t>年无重大违法违规、失信被执行人、重大安全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环保</w:t>
      </w:r>
      <w:r>
        <w:rPr>
          <w:rFonts w:ascii="Times New Roman" w:eastAsia="仿宋_GB2312" w:hAnsi="Times New Roman"/>
          <w:sz w:val="32"/>
          <w:szCs w:val="32"/>
        </w:rPr>
        <w:t>/</w:t>
      </w:r>
      <w:r>
        <w:rPr>
          <w:rFonts w:ascii="Times New Roman" w:eastAsia="仿宋_GB2312" w:hAnsi="Times New Roman"/>
          <w:sz w:val="32"/>
          <w:szCs w:val="32"/>
        </w:rPr>
        <w:t>质量事故、偷税漏税等不良记录，信用状况良好，具备场景落地实施或运营能力。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（二）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场景有效。</w:t>
      </w:r>
      <w:r>
        <w:rPr>
          <w:rFonts w:ascii="Times New Roman" w:eastAsia="仿宋_GB2312" w:hAnsi="Times New Roman"/>
          <w:sz w:val="32"/>
          <w:szCs w:val="32"/>
        </w:rPr>
        <w:t>重点突出场景的实践价值</w:t>
      </w:r>
      <w:r>
        <w:rPr>
          <w:rFonts w:ascii="Times New Roman" w:eastAsia="仿宋_GB2312" w:hAnsi="Times New Roman" w:hint="eastAsia"/>
          <w:sz w:val="32"/>
          <w:szCs w:val="32"/>
        </w:rPr>
        <w:t>、创新性</w:t>
      </w:r>
      <w:r>
        <w:rPr>
          <w:rFonts w:ascii="Times New Roman" w:eastAsia="仿宋_GB2312" w:hAnsi="Times New Roman"/>
          <w:sz w:val="32"/>
          <w:szCs w:val="32"/>
        </w:rPr>
        <w:t>和落地可行性。已实施</w:t>
      </w:r>
      <w:r>
        <w:rPr>
          <w:rFonts w:ascii="Times New Roman" w:eastAsia="仿宋_GB2312" w:hAnsi="Times New Roman" w:hint="eastAsia"/>
          <w:sz w:val="32"/>
          <w:szCs w:val="32"/>
        </w:rPr>
        <w:t>场景</w:t>
      </w:r>
      <w:r>
        <w:rPr>
          <w:rFonts w:ascii="Times New Roman" w:eastAsia="仿宋_GB2312" w:hAnsi="Times New Roman"/>
          <w:sz w:val="32"/>
          <w:szCs w:val="32"/>
        </w:rPr>
        <w:t>需说明建设时间、技术方案、已取得的初步成效等，无明显重大缺陷</w:t>
      </w:r>
      <w:r>
        <w:rPr>
          <w:rFonts w:ascii="Times New Roman" w:eastAsia="仿宋_GB2312" w:hAnsi="Times New Roman" w:hint="eastAsia"/>
          <w:sz w:val="32"/>
          <w:szCs w:val="32"/>
        </w:rPr>
        <w:t>，若稳定运行</w:t>
      </w:r>
      <w:r>
        <w:rPr>
          <w:rFonts w:ascii="Times New Roman" w:eastAsia="仿宋_GB2312" w:hAnsi="Times New Roman" w:hint="eastAsia"/>
          <w:sz w:val="32"/>
          <w:szCs w:val="32"/>
        </w:rPr>
        <w:t>3</w:t>
      </w:r>
      <w:r>
        <w:rPr>
          <w:rFonts w:ascii="Times New Roman" w:eastAsia="仿宋_GB2312" w:hAnsi="Times New Roman" w:hint="eastAsia"/>
          <w:sz w:val="32"/>
          <w:szCs w:val="32"/>
        </w:rPr>
        <w:t>个月以上可优先考虑；计划实施</w:t>
      </w:r>
      <w:r>
        <w:rPr>
          <w:rFonts w:ascii="Times New Roman" w:eastAsia="仿宋_GB2312" w:hAnsi="Times New Roman"/>
          <w:sz w:val="32"/>
          <w:szCs w:val="32"/>
        </w:rPr>
        <w:t>场景需明确落地时间表、实施方案</w:t>
      </w:r>
      <w:r>
        <w:rPr>
          <w:rFonts w:ascii="Times New Roman" w:eastAsia="仿宋_GB2312" w:hAnsi="Times New Roman" w:hint="eastAsia"/>
          <w:sz w:val="32"/>
          <w:szCs w:val="32"/>
        </w:rPr>
        <w:t>，需论证其前瞻性和</w:t>
      </w:r>
      <w:r>
        <w:rPr>
          <w:rFonts w:ascii="Times New Roman" w:eastAsia="仿宋_GB2312" w:hAnsi="Times New Roman" w:hint="eastAsia"/>
          <w:sz w:val="32"/>
          <w:szCs w:val="32"/>
        </w:rPr>
        <w:lastRenderedPageBreak/>
        <w:t>创新性</w:t>
      </w:r>
      <w:r>
        <w:rPr>
          <w:rFonts w:ascii="Times New Roman" w:eastAsia="仿宋_GB2312" w:hAnsi="Times New Roman"/>
          <w:sz w:val="32"/>
          <w:szCs w:val="32"/>
        </w:rPr>
        <w:t>，无重大后续问题</w:t>
      </w:r>
      <w:r>
        <w:rPr>
          <w:rFonts w:ascii="Times New Roman" w:eastAsia="仿宋_GB2312" w:hAnsi="Times New Roman" w:hint="eastAsia"/>
          <w:sz w:val="32"/>
          <w:szCs w:val="32"/>
        </w:rPr>
        <w:t>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（三）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特色鲜明。</w:t>
      </w:r>
      <w:r>
        <w:rPr>
          <w:rFonts w:ascii="Times New Roman" w:eastAsia="仿宋_GB2312" w:hAnsi="Times New Roman"/>
          <w:sz w:val="32"/>
          <w:szCs w:val="32"/>
        </w:rPr>
        <w:t>场景具有创新性，能够结合行业特点、区域实际，</w:t>
      </w:r>
      <w:r>
        <w:rPr>
          <w:rFonts w:ascii="Times New Roman" w:eastAsia="仿宋_GB2312" w:hAnsi="Times New Roman" w:hint="eastAsia"/>
          <w:sz w:val="32"/>
          <w:szCs w:val="32"/>
        </w:rPr>
        <w:t>能</w:t>
      </w:r>
      <w:r>
        <w:rPr>
          <w:rFonts w:ascii="Times New Roman" w:eastAsia="仿宋_GB2312" w:hAnsi="Times New Roman"/>
          <w:sz w:val="32"/>
          <w:szCs w:val="32"/>
        </w:rPr>
        <w:t>有效解决绿色转型中的痛点、难点问题，在技术应用、模式创新、管理机制等方面有突破，区别于常规绿色转型实践，可体现绿色化与数字化、智能化的深度融合。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（四）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成效可量化。</w:t>
      </w:r>
      <w:r>
        <w:rPr>
          <w:rFonts w:ascii="Times New Roman" w:eastAsia="仿宋_GB2312" w:hAnsi="Times New Roman"/>
          <w:sz w:val="32"/>
          <w:szCs w:val="32"/>
        </w:rPr>
        <w:t>场景在节能、减排、降碳、资源利用、成本节约、生态改善等方面具有明确成效，相关数据可量化、可验证，能够清晰体现场景的绿色价值和经济社会效益，符合国家及四川省相关政策导向和行业标准。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 w:val="32"/>
          <w:szCs w:val="32"/>
        </w:rPr>
        <w:t>（五）</w:t>
      </w:r>
      <w:r>
        <w:rPr>
          <w:rFonts w:ascii="楷体_GB2312" w:eastAsia="楷体_GB2312" w:hAnsi="楷体_GB2312" w:cs="楷体_GB2312"/>
          <w:b/>
          <w:bCs/>
          <w:sz w:val="32"/>
          <w:szCs w:val="32"/>
        </w:rPr>
        <w:t>可复制推广。</w:t>
      </w:r>
      <w:r>
        <w:rPr>
          <w:rFonts w:ascii="Times New Roman" w:eastAsia="仿宋_GB2312" w:hAnsi="Times New Roman"/>
          <w:sz w:val="32"/>
          <w:szCs w:val="32"/>
        </w:rPr>
        <w:t>场景具有清晰的实施路径、成熟的运营模式，适配四川经济社会发展特点，可在同行业、同领域或相似区域推广应用，发挥示范引领作用。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三、申报材料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（一）</w:t>
      </w:r>
      <w:r>
        <w:rPr>
          <w:rFonts w:ascii="Times New Roman" w:eastAsia="仿宋_GB2312" w:hAnsi="Times New Roman"/>
          <w:sz w:val="32"/>
          <w:szCs w:val="32"/>
        </w:rPr>
        <w:t>《</w:t>
      </w:r>
      <w:r>
        <w:rPr>
          <w:rFonts w:ascii="Times New Roman" w:eastAsia="仿宋_GB2312" w:hAnsi="Times New Roman" w:hint="eastAsia"/>
          <w:sz w:val="32"/>
          <w:szCs w:val="32"/>
        </w:rPr>
        <w:t>四川省</w:t>
      </w:r>
      <w:r>
        <w:rPr>
          <w:rFonts w:ascii="Times New Roman" w:eastAsia="仿宋_GB2312" w:hAnsi="Times New Roman"/>
          <w:sz w:val="32"/>
          <w:szCs w:val="32"/>
        </w:rPr>
        <w:t>绿色转型</w:t>
      </w:r>
      <w:r>
        <w:rPr>
          <w:rFonts w:ascii="Times New Roman" w:eastAsia="仿宋_GB2312" w:hAnsi="Times New Roman" w:hint="eastAsia"/>
          <w:sz w:val="32"/>
          <w:szCs w:val="32"/>
        </w:rPr>
        <w:t>应用场景</w:t>
      </w:r>
      <w:r>
        <w:rPr>
          <w:rFonts w:ascii="Times New Roman" w:eastAsia="仿宋_GB2312" w:hAnsi="Times New Roman"/>
          <w:sz w:val="32"/>
          <w:szCs w:val="32"/>
        </w:rPr>
        <w:t>申报表》（加盖申报单位公章）。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（二）</w:t>
      </w:r>
      <w:r>
        <w:rPr>
          <w:rFonts w:ascii="Times New Roman" w:eastAsia="仿宋_GB2312" w:hAnsi="Times New Roman"/>
          <w:sz w:val="32"/>
          <w:szCs w:val="32"/>
        </w:rPr>
        <w:t>相关佐证材料。</w:t>
      </w:r>
    </w:p>
    <w:p w:rsidR="003212CD" w:rsidRDefault="003212CD" w:rsidP="003212CD">
      <w:pPr>
        <w:spacing w:line="560" w:lineRule="exact"/>
        <w:ind w:firstLineChars="200" w:firstLine="640"/>
        <w:jc w:val="left"/>
        <w:rPr>
          <w:rFonts w:ascii="Times New Roman" w:eastAsia="仿宋_GB2312" w:hAnsi="Times New Roman"/>
          <w:sz w:val="32"/>
          <w:szCs w:val="32"/>
        </w:rPr>
      </w:pPr>
      <w:r>
        <w:rPr>
          <w:rFonts w:ascii="Times New Roman" w:eastAsia="仿宋_GB2312" w:hAnsi="Times New Roman" w:hint="eastAsia"/>
          <w:sz w:val="32"/>
          <w:szCs w:val="32"/>
        </w:rPr>
        <w:t>（三）</w:t>
      </w:r>
      <w:r>
        <w:rPr>
          <w:rFonts w:ascii="Times New Roman" w:eastAsia="仿宋_GB2312" w:hAnsi="Times New Roman"/>
          <w:sz w:val="32"/>
          <w:szCs w:val="32"/>
        </w:rPr>
        <w:t>申报材料</w:t>
      </w:r>
      <w:r>
        <w:rPr>
          <w:rFonts w:ascii="Times New Roman" w:eastAsia="仿宋_GB2312" w:hAnsi="Times New Roman" w:hint="eastAsia"/>
          <w:sz w:val="32"/>
          <w:szCs w:val="32"/>
        </w:rPr>
        <w:t>应</w:t>
      </w:r>
      <w:r>
        <w:rPr>
          <w:rFonts w:ascii="Times New Roman" w:eastAsia="仿宋_GB2312" w:hAnsi="Times New Roman"/>
          <w:sz w:val="32"/>
          <w:szCs w:val="32"/>
        </w:rPr>
        <w:t>真实、完整，数据准确，能够清晰说明场景背景、实施内容、技术支撑、落地成效、推广价值</w:t>
      </w:r>
      <w:r>
        <w:rPr>
          <w:rFonts w:ascii="Times New Roman" w:eastAsia="仿宋_GB2312" w:hAnsi="Times New Roman" w:hint="eastAsia"/>
          <w:sz w:val="32"/>
          <w:szCs w:val="32"/>
        </w:rPr>
        <w:t>等，</w:t>
      </w:r>
      <w:r>
        <w:rPr>
          <w:rFonts w:ascii="Times New Roman" w:eastAsia="仿宋_GB2312" w:hAnsi="Times New Roman"/>
          <w:sz w:val="32"/>
          <w:szCs w:val="32"/>
        </w:rPr>
        <w:t>无弄虚作假、虚报瞒报情况。</w:t>
      </w:r>
    </w:p>
    <w:p w:rsidR="003212CD" w:rsidRDefault="003212CD" w:rsidP="003212CD">
      <w:pPr>
        <w:rPr>
          <w:rFonts w:ascii="Times New Roman" w:eastAsia="方正黑体_GBK" w:hAnsi="Times New Roman"/>
          <w:sz w:val="32"/>
          <w:szCs w:val="32"/>
        </w:rPr>
      </w:pPr>
      <w:r>
        <w:rPr>
          <w:rFonts w:ascii="Times New Roman" w:eastAsia="方正黑体_GBK" w:hAnsi="Times New Roman"/>
          <w:sz w:val="32"/>
          <w:szCs w:val="32"/>
        </w:rPr>
        <w:br w:type="page"/>
      </w:r>
    </w:p>
    <w:p w:rsidR="003212CD" w:rsidRDefault="003212CD" w:rsidP="003212CD">
      <w:pPr>
        <w:wordWrap w:val="0"/>
        <w:spacing w:afterLines="50"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Times New Roman"/>
          <w:sz w:val="44"/>
          <w:szCs w:val="44"/>
        </w:rPr>
        <w:lastRenderedPageBreak/>
        <w:t>四川省绿色转型应用场景申报表</w:t>
      </w:r>
    </w:p>
    <w:tbl>
      <w:tblPr>
        <w:tblW w:w="9060" w:type="dxa"/>
        <w:jc w:val="center"/>
        <w:tblLook w:val="0000"/>
      </w:tblPr>
      <w:tblGrid>
        <w:gridCol w:w="2031"/>
        <w:gridCol w:w="2343"/>
        <w:gridCol w:w="2343"/>
        <w:gridCol w:w="2343"/>
      </w:tblGrid>
      <w:tr w:rsidR="003212CD" w:rsidTr="00AA3287">
        <w:trPr>
          <w:trHeight w:val="56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申报单位名称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社会信用代码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3212CD" w:rsidTr="00AA3287">
        <w:trPr>
          <w:trHeight w:val="56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注册地址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3212CD" w:rsidTr="00AA3287">
        <w:trPr>
          <w:trHeight w:val="56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办公地址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3212CD" w:rsidTr="00AA3287">
        <w:trPr>
          <w:trHeight w:val="56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联系人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联系电话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jc w:val="center"/>
              <w:rPr>
                <w:rFonts w:ascii="Times New Roman" w:eastAsia="方正仿宋_GBK" w:hAnsi="Times New Roman"/>
                <w:sz w:val="28"/>
                <w:szCs w:val="28"/>
              </w:rPr>
            </w:pPr>
          </w:p>
        </w:tc>
      </w:tr>
      <w:tr w:rsidR="003212CD" w:rsidTr="00AA3287">
        <w:trPr>
          <w:trHeight w:val="567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场景名称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snapToGrid w:val="0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方正仿宋_GBK" w:hAnsi="Times New Roman"/>
                <w:sz w:val="28"/>
                <w:szCs w:val="28"/>
              </w:rPr>
              <w:t>（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30</w:t>
            </w:r>
            <w:r>
              <w:rPr>
                <w:rFonts w:ascii="Times New Roman" w:eastAsia="方正仿宋_GBK" w:hAnsi="Times New Roman"/>
                <w:sz w:val="28"/>
                <w:szCs w:val="28"/>
              </w:rPr>
              <w:t>字以内）</w:t>
            </w:r>
          </w:p>
        </w:tc>
      </w:tr>
      <w:tr w:rsidR="003212CD" w:rsidTr="00AA3287">
        <w:trPr>
          <w:trHeight w:val="1470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申报类别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工业绿色转型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城乡建设绿色转型</w:t>
            </w:r>
          </w:p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交通运输绿色转型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能源领域绿色转型</w:t>
            </w:r>
          </w:p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资源循环利用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数智绿色融合</w:t>
            </w:r>
          </w:p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u w:val="single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综合服务类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  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>其他方向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u w:val="single"/>
                <w:lang/>
              </w:rPr>
              <w:t xml:space="preserve">           </w:t>
            </w:r>
          </w:p>
        </w:tc>
      </w:tr>
      <w:tr w:rsidR="003212CD" w:rsidTr="00AA3287">
        <w:trPr>
          <w:trHeight w:val="984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 w:hint="eastAsia"/>
                <w:kern w:val="0"/>
                <w:sz w:val="28"/>
                <w:szCs w:val="28"/>
                <w:lang/>
              </w:rPr>
              <w:t>实施状态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>已实施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  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 xml:space="preserve"> 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□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>计划实施</w:t>
            </w:r>
          </w:p>
        </w:tc>
      </w:tr>
      <w:tr w:rsidR="003212CD" w:rsidTr="00AA3287">
        <w:trPr>
          <w:trHeight w:val="1756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场景背景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（阐述场景实施的政策背景、行业痛点、实施初衷，结合国家及四川省绿色化转型相关要求，说明场景落地的必要性，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300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3212CD" w:rsidTr="00AA3287">
        <w:trPr>
          <w:trHeight w:val="1895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实施内容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（详细说明场景的实施地点、实施周期、核心技术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/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方案、实施步骤、投入情况、运营模式，明确场景的核心功能和实施路径，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500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3212CD" w:rsidTr="00AA3287">
        <w:trPr>
          <w:trHeight w:val="1920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创新点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（描述场景的创新点、技术成熟度等，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200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3212CD" w:rsidTr="00AA3287">
        <w:trPr>
          <w:trHeight w:val="2252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lastRenderedPageBreak/>
              <w:t>落地成效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（量化说明场景在节能降耗、减排降碳、资源循环利用率、成本节约、生态改善、生产效率提升等方面的具体</w:t>
            </w:r>
            <w:r>
              <w:rPr>
                <w:rFonts w:ascii="Times New Roman" w:eastAsia="仿宋_GB2312" w:hAnsi="Times New Roman" w:hint="eastAsia"/>
                <w:kern w:val="0"/>
                <w:sz w:val="28"/>
                <w:szCs w:val="28"/>
                <w:lang/>
              </w:rPr>
              <w:t>或预期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成效，</w:t>
            </w:r>
            <w:r>
              <w:rPr>
                <w:rFonts w:ascii="Times New Roman" w:eastAsia="仿宋_GB2312" w:hAnsi="Times New Roman"/>
                <w:kern w:val="0"/>
                <w:sz w:val="30"/>
                <w:szCs w:val="30"/>
                <w:lang/>
              </w:rPr>
              <w:t>5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3212CD" w:rsidTr="00AA3287">
        <w:trPr>
          <w:trHeight w:val="2358"/>
          <w:jc w:val="center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center"/>
              <w:textAlignment w:val="center"/>
              <w:rPr>
                <w:rFonts w:ascii="Times New Roman" w:eastAsia="黑体" w:hAnsi="Times New Roman"/>
                <w:sz w:val="28"/>
                <w:szCs w:val="28"/>
              </w:rPr>
            </w:pPr>
            <w:r>
              <w:rPr>
                <w:rFonts w:ascii="Times New Roman" w:eastAsia="黑体" w:hAnsi="Times New Roman"/>
                <w:sz w:val="28"/>
                <w:szCs w:val="28"/>
              </w:rPr>
              <w:t>推广价值</w:t>
            </w:r>
          </w:p>
        </w:tc>
        <w:tc>
          <w:tcPr>
            <w:tcW w:w="7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（分析场景的可复制性、可推广性，明确推广范围、推广条件，以及对行业、区域绿色化转型的示范引领作用，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300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字以内）</w:t>
            </w:r>
          </w:p>
        </w:tc>
      </w:tr>
      <w:tr w:rsidR="003212CD" w:rsidTr="00AA3287">
        <w:trPr>
          <w:trHeight w:val="567"/>
          <w:jc w:val="center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12CD" w:rsidRDefault="003212CD" w:rsidP="00AA3287">
            <w:pPr>
              <w:widowControl/>
              <w:wordWrap w:val="0"/>
              <w:snapToGrid w:val="0"/>
              <w:textAlignment w:val="center"/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黑体" w:hAnsi="Times New Roman"/>
                <w:kern w:val="0"/>
                <w:sz w:val="28"/>
                <w:szCs w:val="28"/>
                <w:lang/>
              </w:rPr>
              <w:t>承诺与声明：</w:t>
            </w:r>
          </w:p>
          <w:p w:rsidR="003212CD" w:rsidRDefault="003212CD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  <w:p w:rsidR="003212CD" w:rsidRDefault="003212CD" w:rsidP="00AA3287">
            <w:pPr>
              <w:widowControl/>
              <w:snapToGrid w:val="0"/>
              <w:jc w:val="left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本单位承诺，所填报内容及提交的材料均真实、合法、有效，如有虚假，愿承担相应责任。</w:t>
            </w:r>
          </w:p>
          <w:p w:rsidR="003212CD" w:rsidRDefault="003212CD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  <w:p w:rsidR="003212CD" w:rsidRDefault="003212CD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</w:pPr>
          </w:p>
          <w:p w:rsidR="003212CD" w:rsidRDefault="003212CD" w:rsidP="00AA3287">
            <w:pPr>
              <w:widowControl/>
              <w:wordWrap w:val="0"/>
              <w:snapToGrid w:val="0"/>
              <w:jc w:val="center"/>
              <w:textAlignment w:val="center"/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</w:pP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 xml:space="preserve">                    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申报单位（盖章）：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</w:t>
            </w:r>
          </w:p>
          <w:p w:rsidR="003212CD" w:rsidRDefault="003212CD" w:rsidP="00AA3287">
            <w:pPr>
              <w:widowControl/>
              <w:wordWrap w:val="0"/>
              <w:snapToGrid w:val="0"/>
              <w:ind w:firstLineChars="500" w:firstLine="1400"/>
              <w:jc w:val="center"/>
              <w:textAlignment w:val="center"/>
              <w:rPr>
                <w:rFonts w:ascii="Times New Roman" w:eastAsia="方正仿宋_GBK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 xml:space="preserve">     </w:t>
            </w:r>
            <w:r>
              <w:rPr>
                <w:rFonts w:ascii="Times New Roman" w:eastAsia="仿宋_GB2312" w:hAnsi="Times New Roman"/>
                <w:kern w:val="0"/>
                <w:sz w:val="28"/>
                <w:szCs w:val="28"/>
                <w:lang/>
              </w:rPr>
              <w:t>日期：</w:t>
            </w:r>
            <w:r>
              <w:rPr>
                <w:rFonts w:ascii="Times New Roman" w:eastAsia="方正仿宋_GBK" w:hAnsi="Times New Roman"/>
                <w:kern w:val="0"/>
                <w:sz w:val="28"/>
                <w:szCs w:val="28"/>
                <w:lang/>
              </w:rPr>
              <w:t xml:space="preserve">   </w:t>
            </w:r>
          </w:p>
        </w:tc>
      </w:tr>
    </w:tbl>
    <w:p w:rsidR="003212CD" w:rsidRDefault="003212CD" w:rsidP="003212CD">
      <w:pPr>
        <w:widowControl/>
        <w:snapToGrid w:val="0"/>
        <w:ind w:firstLineChars="200" w:firstLine="560"/>
        <w:textAlignment w:val="center"/>
        <w:rPr>
          <w:rFonts w:ascii="Times New Roman" w:eastAsia="黑体" w:hAnsi="Times New Roman"/>
          <w:kern w:val="0"/>
          <w:sz w:val="28"/>
          <w:szCs w:val="28"/>
          <w:lang/>
        </w:rPr>
      </w:pPr>
    </w:p>
    <w:p w:rsidR="003212CD" w:rsidRDefault="003212CD" w:rsidP="003212CD">
      <w:pPr>
        <w:widowControl/>
        <w:snapToGrid w:val="0"/>
        <w:spacing w:line="520" w:lineRule="exact"/>
        <w:ind w:firstLineChars="100" w:firstLine="28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黑体" w:hAnsi="Times New Roman"/>
          <w:kern w:val="0"/>
          <w:sz w:val="28"/>
          <w:szCs w:val="28"/>
          <w:lang/>
        </w:rPr>
        <w:t>注：</w:t>
      </w:r>
      <w:r>
        <w:rPr>
          <w:rFonts w:ascii="Times New Roman" w:eastAsia="黑体" w:hAnsi="Times New Roman"/>
          <w:kern w:val="0"/>
          <w:sz w:val="28"/>
          <w:szCs w:val="28"/>
          <w:lang/>
        </w:rPr>
        <w:t>1.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纳入应用场景库后，将向全社会公开；若不愿意公开，请勿申报。</w:t>
      </w:r>
    </w:p>
    <w:p w:rsidR="003212CD" w:rsidRDefault="003212CD" w:rsidP="003212CD">
      <w:pPr>
        <w:widowControl/>
        <w:snapToGrid w:val="0"/>
        <w:spacing w:line="520" w:lineRule="exact"/>
        <w:ind w:firstLineChars="278" w:firstLine="778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黑体" w:hAnsi="Times New Roman"/>
          <w:kern w:val="0"/>
          <w:sz w:val="28"/>
          <w:szCs w:val="28"/>
          <w:lang/>
        </w:rPr>
        <w:t>2.</w:t>
      </w:r>
      <w:r>
        <w:rPr>
          <w:rFonts w:ascii="Times New Roman" w:eastAsia="黑体" w:hAnsi="Times New Roman"/>
          <w:kern w:val="0"/>
          <w:sz w:val="28"/>
          <w:szCs w:val="28"/>
          <w:lang/>
        </w:rPr>
        <w:t>绿色转型应用场景：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主要是可落地、可复制的实践载体，核心是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“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提</w:t>
      </w:r>
    </w:p>
    <w:p w:rsidR="003212CD" w:rsidRDefault="003212CD" w:rsidP="003212CD">
      <w:pPr>
        <w:widowControl/>
        <w:snapToGrid w:val="0"/>
        <w:spacing w:line="520" w:lineRule="exact"/>
        <w:ind w:firstLineChars="357" w:firstLine="100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仿宋_GB2312" w:hAnsi="Times New Roman"/>
          <w:kern w:val="0"/>
          <w:sz w:val="28"/>
          <w:szCs w:val="28"/>
          <w:lang/>
        </w:rPr>
        <w:t>供可推广的具体场景方案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”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，突出场景的创新性和落地的可行性，</w:t>
      </w:r>
    </w:p>
    <w:p w:rsidR="003212CD" w:rsidRDefault="003212CD" w:rsidP="003212CD">
      <w:pPr>
        <w:widowControl/>
        <w:snapToGrid w:val="0"/>
        <w:spacing w:line="520" w:lineRule="exact"/>
        <w:ind w:firstLineChars="357" w:firstLine="100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仿宋_GB2312" w:hAnsi="Times New Roman"/>
          <w:kern w:val="0"/>
          <w:sz w:val="28"/>
          <w:szCs w:val="28"/>
          <w:lang/>
        </w:rPr>
        <w:t>强调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“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有路径、可操作、能推广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”</w:t>
      </w:r>
      <w:r>
        <w:rPr>
          <w:rFonts w:ascii="Times New Roman" w:eastAsia="仿宋_GB2312" w:hAnsi="Times New Roman"/>
          <w:kern w:val="0"/>
          <w:sz w:val="28"/>
          <w:szCs w:val="28"/>
          <w:lang/>
        </w:rPr>
        <w:t>，可包含拟实施但有明确落地计</w:t>
      </w:r>
    </w:p>
    <w:p w:rsidR="003212CD" w:rsidRDefault="003212CD" w:rsidP="003212CD">
      <w:pPr>
        <w:widowControl/>
        <w:snapToGrid w:val="0"/>
        <w:spacing w:line="520" w:lineRule="exact"/>
        <w:ind w:firstLineChars="357" w:firstLine="1000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  <w:r>
        <w:rPr>
          <w:rFonts w:ascii="Times New Roman" w:eastAsia="仿宋_GB2312" w:hAnsi="Times New Roman"/>
          <w:kern w:val="0"/>
          <w:sz w:val="28"/>
          <w:szCs w:val="28"/>
          <w:lang/>
        </w:rPr>
        <w:t>划的项目。</w:t>
      </w:r>
    </w:p>
    <w:p w:rsidR="003212CD" w:rsidRDefault="003212CD" w:rsidP="003212CD">
      <w:pPr>
        <w:widowControl/>
        <w:snapToGrid w:val="0"/>
        <w:spacing w:line="440" w:lineRule="exact"/>
        <w:ind w:firstLineChars="278" w:firstLine="778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</w:pPr>
    </w:p>
    <w:p w:rsidR="003212CD" w:rsidRDefault="003212CD" w:rsidP="003212CD">
      <w:pPr>
        <w:widowControl/>
        <w:snapToGrid w:val="0"/>
        <w:spacing w:line="440" w:lineRule="exact"/>
        <w:ind w:firstLineChars="278" w:firstLine="778"/>
        <w:textAlignment w:val="center"/>
        <w:rPr>
          <w:rFonts w:ascii="Times New Roman" w:eastAsia="仿宋_GB2312" w:hAnsi="Times New Roman"/>
          <w:kern w:val="0"/>
          <w:sz w:val="28"/>
          <w:szCs w:val="28"/>
          <w:lang/>
        </w:rPr>
        <w:sectPr w:rsidR="003212CD">
          <w:footerReference w:type="default" r:id="rId4"/>
          <w:footerReference w:type="first" r:id="rId5"/>
          <w:pgSz w:w="11906" w:h="16838"/>
          <w:pgMar w:top="2098" w:right="1531" w:bottom="1984" w:left="1531" w:header="851" w:footer="2041" w:gutter="0"/>
          <w:cols w:space="720"/>
          <w:titlePg/>
          <w:docGrid w:type="lines" w:linePitch="312"/>
        </w:sectPr>
      </w:pPr>
    </w:p>
    <w:p w:rsidR="00F34A55" w:rsidRDefault="00F34A55"/>
    <w:sectPr w:rsidR="00F34A55" w:rsidSect="00F34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184F6CFA" w:usb2="00000012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00"/>
    <w:family w:val="auto"/>
    <w:pitch w:val="default"/>
    <w:sig w:usb0="00000000" w:usb1="00000000" w:usb2="00000000" w:usb3="00000000" w:csb0="00040000" w:csb1="00000000"/>
  </w:font>
  <w:font w:name="仿宋_GB2312">
    <w:altName w:val="Arial Unicode MS"/>
    <w:charset w:val="00"/>
    <w:family w:val="auto"/>
    <w:pitch w:val="default"/>
    <w:sig w:usb0="00000000" w:usb1="00000000" w:usb2="0000000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小标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仿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37EF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1025" type="#_x0000_t202" style="position:absolute;margin-left:104pt;margin-top:0;width:2in;height:2in;z-index:251660288;mso-wrap-style:none;mso-position-horizontal:outside;mso-position-horizontal-relative:margin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 filled="f" stroked="f" strokeweight=".5pt">
          <v:fill o:detectmouseclick="t"/>
          <v:textbox style="mso-fit-shape-to-text:t" inset="0,0,0,0">
            <w:txbxContent>
              <w:p w:rsidR="00000000" w:rsidRDefault="00FE37EF">
                <w:pPr>
                  <w:pStyle w:val="a3"/>
                  <w:rPr>
                    <w:rFonts w:ascii="Times New Roman" w:hAnsi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separate"/>
                </w:r>
                <w:r w:rsidR="003212CD">
                  <w:rPr>
                    <w:rFonts w:ascii="Times New Roman" w:hAnsi="Times New Roman"/>
                    <w:noProof/>
                    <w:sz w:val="28"/>
                    <w:szCs w:val="28"/>
                  </w:rPr>
                  <w:t>2</w:t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E37EF">
    <w:pPr>
      <w:pStyle w:val="a3"/>
    </w:pPr>
    <w:r>
      <w:rPr>
        <w:rFonts w:hint="eastAsia"/>
        <w:color w:val="000000"/>
      </w:rPr>
      <w:pict>
        <v:group id="组合 8" o:spid="_x0000_s1026" style="position:absolute;margin-left:-19.2pt;margin-top:16.4pt;width:482.1pt;height:4.45pt;flip:x y;z-index:251661312" coordorigin="1163,2786" coordsize="9642,89" o:gfxdata="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">
          <v:line id="直接连接符 6" o:spid="_x0000_s1027" style="position:absolute" from="1167,2786" to="10805,2797" o:gfxdata="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" strokecolor="red" strokeweight="2.25pt">
            <v:fill o:detectmouseclick="t"/>
          </v:line>
          <v:line id="直接连接符 7" o:spid="_x0000_s1028" style="position:absolute" from="1163,2864" to="10801,2875" o:gfxdata="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" strokecolor="red">
            <v:fill o:detectmouseclick="t"/>
          </v:line>
        </v:group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</w:compat>
  <w:rsids>
    <w:rsidRoot w:val="003212CD"/>
    <w:rsid w:val="003212CD"/>
    <w:rsid w:val="00F34A55"/>
    <w:rsid w:val="00FE3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2CD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3212C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rsid w:val="003212CD"/>
    <w:rPr>
      <w:rFonts w:ascii="Calibri" w:eastAsia="宋体" w:hAnsi="Calibri" w:cs="Times New Roman"/>
      <w:sz w:val="1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323</Words>
  <Characters>1847</Characters>
  <Application>Microsoft Office Word</Application>
  <DocSecurity>0</DocSecurity>
  <Lines>15</Lines>
  <Paragraphs>4</Paragraphs>
  <ScaleCrop>false</ScaleCrop>
  <Company>CHINA</Company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2026-04-23T02:35:00Z</dcterms:created>
  <dcterms:modified xsi:type="dcterms:W3CDTF">2026-04-23T02:35:00Z</dcterms:modified>
</cp:coreProperties>
</file>