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A4" w:rsidRDefault="00D943A4" w:rsidP="00D943A4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四川省绿色转型典型案例征集指南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黑体" w:hAnsi="Times New Roman"/>
          <w:sz w:val="32"/>
          <w:szCs w:val="32"/>
        </w:rPr>
      </w:pPr>
    </w:p>
    <w:p w:rsidR="00D943A4" w:rsidRDefault="00D943A4" w:rsidP="00D943A4">
      <w:pPr>
        <w:widowControl/>
        <w:snapToGrid w:val="0"/>
        <w:spacing w:line="560" w:lineRule="exact"/>
        <w:ind w:firstLineChars="200" w:firstLine="640"/>
        <w:textAlignment w:val="center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 w:hint="eastAsia"/>
          <w:sz w:val="32"/>
          <w:szCs w:val="32"/>
        </w:rPr>
        <w:t>一</w:t>
      </w:r>
      <w:r>
        <w:rPr>
          <w:rFonts w:ascii="Times New Roman" w:eastAsia="黑体" w:hAnsi="Times New Roman"/>
          <w:sz w:val="32"/>
          <w:szCs w:val="32"/>
        </w:rPr>
        <w:t>、征集范围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节能降碳类。</w:t>
      </w:r>
      <w:r>
        <w:rPr>
          <w:rFonts w:ascii="Times New Roman" w:eastAsia="仿宋_GB2312" w:hAnsi="Times New Roman" w:hint="eastAsia"/>
          <w:sz w:val="32"/>
          <w:szCs w:val="32"/>
        </w:rPr>
        <w:t>围绕产业（含工业、服务业、农业）、城乡建设、交通运输、能源等重点领域，</w:t>
      </w:r>
      <w:r>
        <w:rPr>
          <w:rFonts w:ascii="Times New Roman" w:eastAsia="仿宋_GB2312" w:hAnsi="Times New Roman"/>
          <w:sz w:val="32"/>
          <w:szCs w:val="32"/>
        </w:rPr>
        <w:t>能效提升、余热余压利用、高效节能设备应用、智能能源管控、低碳工艺改造、碳捕集利用与封存（</w:t>
      </w:r>
      <w:r>
        <w:rPr>
          <w:rFonts w:ascii="Times New Roman" w:eastAsia="仿宋_GB2312" w:hAnsi="Times New Roman"/>
          <w:sz w:val="32"/>
          <w:szCs w:val="32"/>
        </w:rPr>
        <w:t>CCUS</w:t>
      </w:r>
      <w:r>
        <w:rPr>
          <w:rFonts w:ascii="Times New Roman" w:eastAsia="仿宋_GB2312" w:hAnsi="Times New Roman"/>
          <w:sz w:val="32"/>
          <w:szCs w:val="32"/>
        </w:rPr>
        <w:t>）、原辅料低碳替代</w:t>
      </w:r>
      <w:r>
        <w:rPr>
          <w:rFonts w:ascii="Times New Roman" w:eastAsia="仿宋_GB2312" w:hAnsi="Times New Roman" w:hint="eastAsia"/>
          <w:sz w:val="32"/>
          <w:szCs w:val="32"/>
        </w:rPr>
        <w:t>、</w:t>
      </w:r>
      <w:r>
        <w:rPr>
          <w:rFonts w:ascii="Times New Roman" w:eastAsia="仿宋_GB2312" w:hAnsi="Times New Roman"/>
          <w:sz w:val="32"/>
          <w:szCs w:val="32"/>
        </w:rPr>
        <w:t>电能替代、氢能与储能、绿色微电网建设等</w:t>
      </w:r>
      <w:r>
        <w:rPr>
          <w:rFonts w:ascii="Times New Roman" w:eastAsia="仿宋_GB2312" w:hAnsi="Times New Roman" w:hint="eastAsia"/>
          <w:sz w:val="32"/>
          <w:szCs w:val="32"/>
        </w:rPr>
        <w:t>方面</w:t>
      </w:r>
      <w:r>
        <w:rPr>
          <w:rFonts w:ascii="Times New Roman" w:eastAsia="仿宋_GB2312" w:hAnsi="Times New Roman"/>
          <w:sz w:val="32"/>
          <w:szCs w:val="32"/>
        </w:rPr>
        <w:t>相关案例。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（二）生态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环境保护类。</w:t>
      </w:r>
      <w:r>
        <w:rPr>
          <w:rFonts w:ascii="Times New Roman" w:eastAsia="仿宋_GB2312" w:hAnsi="Times New Roman"/>
          <w:sz w:val="32"/>
          <w:szCs w:val="32"/>
        </w:rPr>
        <w:t>工业废水、废气（含</w:t>
      </w:r>
      <w:r>
        <w:rPr>
          <w:rFonts w:ascii="Times New Roman" w:eastAsia="仿宋_GB2312" w:hAnsi="Times New Roman"/>
          <w:sz w:val="32"/>
          <w:szCs w:val="32"/>
        </w:rPr>
        <w:t>VOCs</w:t>
      </w:r>
      <w:r>
        <w:rPr>
          <w:rFonts w:ascii="Times New Roman" w:eastAsia="仿宋_GB2312" w:hAnsi="Times New Roman"/>
          <w:sz w:val="32"/>
          <w:szCs w:val="32"/>
        </w:rPr>
        <w:t>）、固废、噪声治理，土壤与生态修复，环境监测与智慧环保应用，低</w:t>
      </w:r>
      <w:r>
        <w:rPr>
          <w:rFonts w:ascii="Times New Roman" w:eastAsia="仿宋_GB2312" w:hAnsi="Times New Roman"/>
          <w:sz w:val="32"/>
          <w:szCs w:val="32"/>
        </w:rPr>
        <w:t>VOCs</w:t>
      </w:r>
      <w:r>
        <w:rPr>
          <w:rFonts w:ascii="Times New Roman" w:eastAsia="仿宋_GB2312" w:hAnsi="Times New Roman"/>
          <w:sz w:val="32"/>
          <w:szCs w:val="32"/>
        </w:rPr>
        <w:t>原辅材料替代，环保设施运营管理等相关案例。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资源循环类。</w:t>
      </w:r>
      <w:r>
        <w:rPr>
          <w:rFonts w:ascii="Times New Roman" w:eastAsia="仿宋_GB2312" w:hAnsi="Times New Roman"/>
          <w:sz w:val="32"/>
          <w:szCs w:val="32"/>
        </w:rPr>
        <w:t>固废、危废、再生资源综合利用，循环经济产业链打造，节水技术与装备应用，</w:t>
      </w:r>
      <w:r>
        <w:rPr>
          <w:rFonts w:ascii="Times New Roman" w:eastAsia="仿宋_GB2312" w:hAnsi="Times New Roman"/>
          <w:sz w:val="32"/>
          <w:szCs w:val="32"/>
        </w:rPr>
        <w:t>“</w:t>
      </w:r>
      <w:r>
        <w:rPr>
          <w:rFonts w:ascii="Times New Roman" w:eastAsia="仿宋_GB2312" w:hAnsi="Times New Roman"/>
          <w:sz w:val="32"/>
          <w:szCs w:val="32"/>
        </w:rPr>
        <w:t>无废城市</w:t>
      </w:r>
      <w:r>
        <w:rPr>
          <w:rFonts w:ascii="Times New Roman" w:eastAsia="仿宋_GB2312" w:hAnsi="Times New Roman"/>
          <w:sz w:val="32"/>
          <w:szCs w:val="32"/>
        </w:rPr>
        <w:t>”</w:t>
      </w:r>
      <w:r>
        <w:rPr>
          <w:rFonts w:ascii="Times New Roman" w:eastAsia="仿宋_GB2312" w:hAnsi="Times New Roman" w:hint="eastAsia"/>
          <w:sz w:val="32"/>
          <w:szCs w:val="32"/>
        </w:rPr>
        <w:t>“</w:t>
      </w:r>
      <w:r>
        <w:rPr>
          <w:rFonts w:ascii="Times New Roman" w:eastAsia="仿宋_GB2312" w:hAnsi="Times New Roman"/>
          <w:sz w:val="32"/>
          <w:szCs w:val="32"/>
        </w:rPr>
        <w:t>无废工厂</w:t>
      </w:r>
      <w:r>
        <w:rPr>
          <w:rFonts w:ascii="Times New Roman" w:eastAsia="仿宋_GB2312" w:hAnsi="Times New Roman" w:hint="eastAsia"/>
          <w:sz w:val="32"/>
          <w:szCs w:val="32"/>
        </w:rPr>
        <w:t>”建设</w:t>
      </w:r>
      <w:r>
        <w:rPr>
          <w:rFonts w:ascii="Times New Roman" w:eastAsia="仿宋_GB2312" w:hAnsi="Times New Roman"/>
          <w:sz w:val="32"/>
          <w:szCs w:val="32"/>
        </w:rPr>
        <w:t>等相关案例。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（四）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智绿融合类。</w:t>
      </w:r>
      <w:r>
        <w:rPr>
          <w:rFonts w:ascii="Times New Roman" w:eastAsia="仿宋_GB2312" w:hAnsi="Times New Roman" w:hint="eastAsia"/>
          <w:sz w:val="32"/>
          <w:szCs w:val="32"/>
        </w:rPr>
        <w:t>围绕产业（含工业、服务业、农业）、城乡建设、交通运输、能源等重点领域，</w:t>
      </w:r>
      <w:r>
        <w:rPr>
          <w:rFonts w:ascii="Times New Roman" w:eastAsia="仿宋_GB2312" w:hAnsi="Times New Roman"/>
          <w:sz w:val="32"/>
          <w:szCs w:val="32"/>
        </w:rPr>
        <w:t>工业互联网</w:t>
      </w:r>
      <w:r>
        <w:rPr>
          <w:rFonts w:ascii="Times New Roman" w:eastAsia="仿宋_GB2312" w:hAnsi="Times New Roman"/>
          <w:sz w:val="32"/>
          <w:szCs w:val="32"/>
        </w:rPr>
        <w:t>+</w:t>
      </w:r>
      <w:r>
        <w:rPr>
          <w:rFonts w:ascii="Times New Roman" w:eastAsia="仿宋_GB2312" w:hAnsi="Times New Roman"/>
          <w:sz w:val="32"/>
          <w:szCs w:val="32"/>
        </w:rPr>
        <w:t>绿色低碳融合应用、能耗在线监测系统建设、数字化能效诊断、绿色工厂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园区智能管控平台搭建、碳管理与核算系统应用等</w:t>
      </w:r>
      <w:r>
        <w:rPr>
          <w:rFonts w:ascii="Times New Roman" w:eastAsia="仿宋_GB2312" w:hAnsi="Times New Roman" w:hint="eastAsia"/>
          <w:sz w:val="32"/>
          <w:szCs w:val="32"/>
        </w:rPr>
        <w:t>方面</w:t>
      </w:r>
      <w:r>
        <w:rPr>
          <w:rFonts w:ascii="Times New Roman" w:eastAsia="仿宋_GB2312" w:hAnsi="Times New Roman"/>
          <w:sz w:val="32"/>
          <w:szCs w:val="32"/>
        </w:rPr>
        <w:t>相关案例。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（五）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绿色制造类。</w:t>
      </w:r>
      <w:r>
        <w:rPr>
          <w:rFonts w:ascii="Times New Roman" w:eastAsia="仿宋_GB2312" w:hAnsi="Times New Roman"/>
          <w:sz w:val="32"/>
          <w:szCs w:val="32"/>
        </w:rPr>
        <w:t>绿色设计、绿色产品研发、清洁生产推行、绿色供应链构建、绿色工厂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园区创建、绿色制造体系认证咨询等相关案例。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（六）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综合服务类。</w:t>
      </w:r>
      <w:r>
        <w:rPr>
          <w:rFonts w:ascii="Times New Roman" w:eastAsia="仿宋_GB2312" w:hAnsi="Times New Roman"/>
          <w:sz w:val="32"/>
          <w:szCs w:val="32"/>
        </w:rPr>
        <w:t>绿色化改造整体规划、项目投融资、工程设计与施工、运维托管、政策申报辅导、技术孵化、绿</w:t>
      </w:r>
      <w:r>
        <w:rPr>
          <w:rFonts w:ascii="Times New Roman" w:eastAsia="仿宋_GB2312" w:hAnsi="Times New Roman"/>
          <w:sz w:val="32"/>
          <w:szCs w:val="32"/>
        </w:rPr>
        <w:lastRenderedPageBreak/>
        <w:t>色转型人才培训等全流程服务，以及绿色诊断、绿色产品认证、碳足迹标识认证相关案例。</w:t>
      </w:r>
    </w:p>
    <w:p w:rsidR="00D943A4" w:rsidRDefault="00D943A4" w:rsidP="00D943A4">
      <w:pPr>
        <w:widowControl/>
        <w:snapToGrid w:val="0"/>
        <w:spacing w:line="560" w:lineRule="exact"/>
        <w:ind w:firstLineChars="200" w:firstLine="640"/>
        <w:textAlignment w:val="center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二</w:t>
      </w:r>
      <w:r>
        <w:rPr>
          <w:rFonts w:ascii="Times New Roman" w:eastAsia="黑体" w:hAnsi="Times New Roman" w:hint="eastAsia"/>
          <w:sz w:val="32"/>
          <w:szCs w:val="32"/>
        </w:rPr>
        <w:t>、</w:t>
      </w:r>
      <w:r>
        <w:rPr>
          <w:rFonts w:ascii="Times New Roman" w:eastAsia="黑体" w:hAnsi="Times New Roman"/>
          <w:sz w:val="32"/>
          <w:szCs w:val="32"/>
        </w:rPr>
        <w:t>基本条件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主体合规。</w:t>
      </w:r>
      <w:r>
        <w:rPr>
          <w:rFonts w:ascii="Times New Roman" w:eastAsia="仿宋_GB2312" w:hAnsi="Times New Roman"/>
          <w:sz w:val="32"/>
          <w:szCs w:val="32"/>
        </w:rPr>
        <w:t>案例实施主体（企业、园区、公共机构等）具有独立法人资格，近</w:t>
      </w:r>
      <w:r>
        <w:rPr>
          <w:rFonts w:ascii="Times New Roman" w:eastAsia="仿宋_GB2312" w:hAnsi="Times New Roman"/>
          <w:sz w:val="32"/>
          <w:szCs w:val="32"/>
        </w:rPr>
        <w:t>3</w:t>
      </w:r>
      <w:r>
        <w:rPr>
          <w:rFonts w:ascii="Times New Roman" w:eastAsia="仿宋_GB2312" w:hAnsi="Times New Roman"/>
          <w:sz w:val="32"/>
          <w:szCs w:val="32"/>
        </w:rPr>
        <w:t>年无重大违法违规、失信被执行人、重大安全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环保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质量事故、偷税漏税等不良记录，信用状况良好。案例实施地</w:t>
      </w:r>
      <w:r>
        <w:rPr>
          <w:rFonts w:ascii="Times New Roman" w:eastAsia="仿宋_GB2312" w:hAnsi="Times New Roman" w:hint="eastAsia"/>
          <w:sz w:val="32"/>
          <w:szCs w:val="32"/>
        </w:rPr>
        <w:t>在</w:t>
      </w:r>
      <w:r>
        <w:rPr>
          <w:rFonts w:ascii="Times New Roman" w:eastAsia="仿宋_GB2312" w:hAnsi="Times New Roman"/>
          <w:sz w:val="32"/>
          <w:szCs w:val="32"/>
        </w:rPr>
        <w:t>四川省内。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 w:hint="eastAsia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成效显著。</w:t>
      </w:r>
      <w:r>
        <w:rPr>
          <w:rFonts w:ascii="Times New Roman" w:eastAsia="仿宋_GB2312" w:hAnsi="Times New Roman"/>
          <w:sz w:val="32"/>
          <w:szCs w:val="32"/>
        </w:rPr>
        <w:t>案例实施时间为近</w:t>
      </w:r>
      <w:r>
        <w:rPr>
          <w:rFonts w:ascii="Times New Roman" w:eastAsia="仿宋_GB2312" w:hAnsi="Times New Roman"/>
          <w:sz w:val="32"/>
          <w:szCs w:val="32"/>
        </w:rPr>
        <w:t>5</w:t>
      </w:r>
      <w:r>
        <w:rPr>
          <w:rFonts w:ascii="Times New Roman" w:eastAsia="仿宋_GB2312" w:hAnsi="Times New Roman"/>
          <w:sz w:val="32"/>
          <w:szCs w:val="32"/>
        </w:rPr>
        <w:t>年，已完工并稳定运行。案例在经济、环境、社会等方面具有明确成效，如节能降耗、减排降碳、资源循环利用率提升、成本节约等，能充分体现绿色转型的实际价值，可量化、可验证，具有较强示范引领作用。</w:t>
      </w:r>
      <w:r>
        <w:rPr>
          <w:rFonts w:ascii="Times New Roman" w:eastAsia="仿宋_GB2312" w:hAnsi="Times New Roman" w:hint="eastAsia"/>
          <w:sz w:val="32"/>
          <w:szCs w:val="32"/>
        </w:rPr>
        <w:t xml:space="preserve">  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可复制性。</w:t>
      </w:r>
      <w:r>
        <w:rPr>
          <w:rFonts w:ascii="Times New Roman" w:eastAsia="仿宋_GB2312" w:hAnsi="Times New Roman"/>
          <w:sz w:val="32"/>
          <w:szCs w:val="32"/>
        </w:rPr>
        <w:t>案例具有清晰的实施路径、成熟的技术方案或服务模式，符合国家、行业及四川省相关法律法规、政策标准与产业导向，适配四川产业</w:t>
      </w:r>
      <w:r>
        <w:rPr>
          <w:rFonts w:ascii="Times New Roman" w:eastAsia="仿宋_GB2312" w:hAnsi="Times New Roman" w:hint="eastAsia"/>
          <w:sz w:val="32"/>
          <w:szCs w:val="32"/>
        </w:rPr>
        <w:t>及社会</w:t>
      </w:r>
      <w:r>
        <w:rPr>
          <w:rFonts w:ascii="Times New Roman" w:eastAsia="仿宋_GB2312" w:hAnsi="Times New Roman"/>
          <w:sz w:val="32"/>
          <w:szCs w:val="32"/>
        </w:rPr>
        <w:t>发展特点，便于在同行业、同领域推广应用。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D943A4" w:rsidRDefault="00D943A4" w:rsidP="00D943A4">
      <w:pPr>
        <w:spacing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三、申报材料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（一）</w:t>
      </w:r>
      <w:r>
        <w:rPr>
          <w:rFonts w:ascii="Times New Roman" w:eastAsia="仿宋_GB2312" w:hAnsi="Times New Roman"/>
          <w:sz w:val="32"/>
          <w:szCs w:val="32"/>
        </w:rPr>
        <w:t>《</w:t>
      </w:r>
      <w:r>
        <w:rPr>
          <w:rFonts w:ascii="Times New Roman" w:eastAsia="仿宋_GB2312" w:hAnsi="Times New Roman" w:hint="eastAsia"/>
          <w:sz w:val="32"/>
          <w:szCs w:val="32"/>
        </w:rPr>
        <w:t>四川省</w:t>
      </w:r>
      <w:r>
        <w:rPr>
          <w:rFonts w:ascii="Times New Roman" w:eastAsia="仿宋_GB2312" w:hAnsi="Times New Roman"/>
          <w:sz w:val="32"/>
          <w:szCs w:val="32"/>
        </w:rPr>
        <w:t>绿色转型</w:t>
      </w:r>
      <w:r>
        <w:rPr>
          <w:rFonts w:ascii="Times New Roman" w:eastAsia="仿宋_GB2312" w:hAnsi="Times New Roman" w:hint="eastAsia"/>
          <w:sz w:val="32"/>
          <w:szCs w:val="32"/>
        </w:rPr>
        <w:t>典型案例</w:t>
      </w:r>
      <w:r>
        <w:rPr>
          <w:rFonts w:ascii="Times New Roman" w:eastAsia="仿宋_GB2312" w:hAnsi="Times New Roman"/>
          <w:sz w:val="32"/>
          <w:szCs w:val="32"/>
        </w:rPr>
        <w:t>申报表》</w:t>
      </w:r>
      <w:r>
        <w:rPr>
          <w:rFonts w:ascii="Times New Roman" w:eastAsia="仿宋_GB2312" w:hAnsi="Times New Roman" w:hint="eastAsia"/>
          <w:sz w:val="32"/>
          <w:szCs w:val="32"/>
        </w:rPr>
        <w:t>，需</w:t>
      </w:r>
      <w:r>
        <w:rPr>
          <w:rFonts w:ascii="Times New Roman" w:eastAsia="仿宋_GB2312" w:hAnsi="Times New Roman"/>
          <w:sz w:val="32"/>
          <w:szCs w:val="32"/>
        </w:rPr>
        <w:t>加盖申报单位公章。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（二）</w:t>
      </w:r>
      <w:r>
        <w:rPr>
          <w:rFonts w:ascii="Times New Roman" w:eastAsia="仿宋_GB2312" w:hAnsi="Times New Roman"/>
          <w:sz w:val="32"/>
          <w:szCs w:val="32"/>
        </w:rPr>
        <w:t>相关佐证材料。</w:t>
      </w:r>
    </w:p>
    <w:p w:rsidR="00D943A4" w:rsidRDefault="00D943A4" w:rsidP="00D943A4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（三）</w:t>
      </w:r>
      <w:r>
        <w:rPr>
          <w:rFonts w:ascii="Times New Roman" w:eastAsia="仿宋_GB2312" w:hAnsi="Times New Roman"/>
          <w:sz w:val="32"/>
          <w:szCs w:val="32"/>
        </w:rPr>
        <w:t>申报材料</w:t>
      </w:r>
      <w:r>
        <w:rPr>
          <w:rFonts w:ascii="Times New Roman" w:eastAsia="仿宋_GB2312" w:hAnsi="Times New Roman" w:hint="eastAsia"/>
          <w:sz w:val="32"/>
          <w:szCs w:val="32"/>
        </w:rPr>
        <w:t>应</w:t>
      </w:r>
      <w:r>
        <w:rPr>
          <w:rFonts w:ascii="Times New Roman" w:eastAsia="仿宋_GB2312" w:hAnsi="Times New Roman"/>
          <w:sz w:val="32"/>
          <w:szCs w:val="32"/>
        </w:rPr>
        <w:t>真实、完整，数据准确，能够清晰说明案例背景、实施过程、核心技术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方案、实施成效及推广价值，无弄虚作假、虚报瞒报情况。</w:t>
      </w:r>
    </w:p>
    <w:p w:rsidR="00D943A4" w:rsidRDefault="00D943A4" w:rsidP="00D943A4">
      <w:pPr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br w:type="page"/>
      </w:r>
    </w:p>
    <w:p w:rsidR="00D943A4" w:rsidRDefault="00D943A4" w:rsidP="00D943A4">
      <w:pPr>
        <w:wordWrap w:val="0"/>
        <w:spacing w:afterLines="50"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>
        <w:rPr>
          <w:rFonts w:ascii="Times New Roman" w:eastAsia="方正小标宋_GBK" w:hAnsi="Times New Roman"/>
          <w:sz w:val="44"/>
          <w:szCs w:val="44"/>
        </w:rPr>
        <w:lastRenderedPageBreak/>
        <w:t>四川省绿色转型典型案例申报表</w:t>
      </w:r>
    </w:p>
    <w:tbl>
      <w:tblPr>
        <w:tblW w:w="9226" w:type="dxa"/>
        <w:jc w:val="center"/>
        <w:tblLook w:val="0000"/>
      </w:tblPr>
      <w:tblGrid>
        <w:gridCol w:w="2197"/>
        <w:gridCol w:w="2343"/>
        <w:gridCol w:w="2343"/>
        <w:gridCol w:w="2343"/>
      </w:tblGrid>
      <w:tr w:rsidR="00D943A4" w:rsidTr="00AA3287">
        <w:trPr>
          <w:trHeight w:val="567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实施单位名称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D943A4" w:rsidTr="00AA3287">
        <w:trPr>
          <w:trHeight w:val="567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案例实施地址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方正仿宋_GBK" w:hAnsi="Times New Roman"/>
                <w:sz w:val="28"/>
                <w:szCs w:val="28"/>
              </w:rPr>
              <w:t>X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省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X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市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X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县（市区）</w:t>
            </w:r>
          </w:p>
        </w:tc>
      </w:tr>
      <w:tr w:rsidR="00D943A4" w:rsidTr="00AA3287">
        <w:trPr>
          <w:trHeight w:val="567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实施单位联系人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snapToGrid w:val="0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联系电话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D943A4" w:rsidTr="00AA3287">
        <w:trPr>
          <w:trHeight w:val="567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案例名称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snapToGrid w:val="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30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D943A4" w:rsidTr="00AA3287">
        <w:trPr>
          <w:trHeight w:val="1134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案例类别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节能降碳类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□</w:t>
            </w:r>
            <w:r>
              <w:rPr>
                <w:rFonts w:ascii="Times New Roman" w:eastAsia="仿宋_GB2312" w:hAnsi="Times New Roman" w:hint="eastAsia"/>
                <w:kern w:val="0"/>
                <w:sz w:val="28"/>
                <w:szCs w:val="28"/>
                <w:lang/>
              </w:rPr>
              <w:t>生态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环境保护类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资源循环类</w:t>
            </w:r>
          </w:p>
          <w:p w:rsidR="00D943A4" w:rsidRDefault="00D943A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智绿融合类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绿色制造类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</w:t>
            </w:r>
            <w:r>
              <w:rPr>
                <w:rFonts w:ascii="Times New Roman" w:eastAsia="仿宋_GB2312" w:hAnsi="Times New Roman" w:hint="eastAsia"/>
                <w:kern w:val="0"/>
                <w:sz w:val="28"/>
                <w:szCs w:val="28"/>
                <w:lang/>
              </w:rPr>
              <w:t xml:space="preserve">    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综合服务类</w:t>
            </w:r>
          </w:p>
          <w:p w:rsidR="00D943A4" w:rsidRDefault="00D943A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u w:val="single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其他方向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u w:val="single"/>
                <w:lang/>
              </w:rPr>
              <w:t xml:space="preserve">           </w:t>
            </w:r>
          </w:p>
        </w:tc>
      </w:tr>
      <w:tr w:rsidR="00D943A4" w:rsidTr="00AA3287">
        <w:trPr>
          <w:trHeight w:val="640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实施时间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X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年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X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月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—X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年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X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月</w:t>
            </w:r>
          </w:p>
        </w:tc>
      </w:tr>
      <w:tr w:rsidR="00D943A4" w:rsidTr="00AA3287">
        <w:trPr>
          <w:trHeight w:val="640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实施地点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X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省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X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市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X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县（市区）</w:t>
            </w:r>
          </w:p>
        </w:tc>
      </w:tr>
      <w:tr w:rsidR="00D943A4" w:rsidTr="00AA3287">
        <w:trPr>
          <w:trHeight w:val="1692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案例背景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（阐述实施绿色化转型的初衷、面临的痛点难点及政策背景，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300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字以内）。</w:t>
            </w:r>
          </w:p>
        </w:tc>
      </w:tr>
      <w:tr w:rsidR="00D943A4" w:rsidTr="00AA3287">
        <w:trPr>
          <w:trHeight w:val="2049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实施过程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（详细说明案例实施的时间、地点、核心技术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/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方案、实施步骤、资金投入情况等，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500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D943A4" w:rsidTr="00AA3287">
        <w:trPr>
          <w:trHeight w:val="2791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实施成效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（量化说明案例转型前后在节能、减排、降碳、资源利用、成本节约等方面的具体成效，附具体数据及与行业水平对比。相关数据必须真实、准确，可查证，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500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D943A4" w:rsidTr="00AA3287">
        <w:trPr>
          <w:trHeight w:val="2163"/>
          <w:jc w:val="center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lastRenderedPageBreak/>
              <w:t>推广价值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（分析案例的可复制性、可推广性，以及对行业、区域绿色化转型的示范引领作用，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300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字以内）。</w:t>
            </w:r>
          </w:p>
        </w:tc>
      </w:tr>
      <w:tr w:rsidR="00D943A4" w:rsidTr="00AA3287">
        <w:trPr>
          <w:trHeight w:val="3405"/>
          <w:jc w:val="center"/>
        </w:trPr>
        <w:tc>
          <w:tcPr>
            <w:tcW w:w="9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A4" w:rsidRDefault="00D943A4" w:rsidP="00AA3287">
            <w:pPr>
              <w:widowControl/>
              <w:snapToGrid w:val="0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承诺与声明：</w:t>
            </w:r>
          </w:p>
          <w:p w:rsidR="00D943A4" w:rsidRDefault="00D943A4" w:rsidP="00AA3287">
            <w:pPr>
              <w:widowControl/>
              <w:snapToGrid w:val="0"/>
              <w:ind w:firstLineChars="200" w:firstLine="560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本单位承诺，所填报内容及提交的材料均真实、合法、有效，如有虚假，愿承担相应责任。</w:t>
            </w:r>
          </w:p>
          <w:p w:rsidR="00D943A4" w:rsidRDefault="00D943A4" w:rsidP="00AA3287">
            <w:pPr>
              <w:widowControl/>
              <w:snapToGrid w:val="0"/>
              <w:ind w:firstLineChars="200" w:firstLine="560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</w:p>
          <w:p w:rsidR="00D943A4" w:rsidRDefault="00D943A4" w:rsidP="00AA3287">
            <w:pPr>
              <w:widowControl/>
              <w:snapToGrid w:val="0"/>
              <w:ind w:firstLineChars="200" w:firstLine="560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</w:p>
          <w:p w:rsidR="00D943A4" w:rsidRDefault="00D943A4" w:rsidP="00AA3287">
            <w:pPr>
              <w:widowControl/>
              <w:wordWrap w:val="0"/>
              <w:snapToGrid w:val="0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                  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申报单位（盖章）：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   </w:t>
            </w:r>
          </w:p>
          <w:p w:rsidR="00D943A4" w:rsidRDefault="00D943A4" w:rsidP="00AA3287">
            <w:pPr>
              <w:widowControl/>
              <w:wordWrap w:val="0"/>
              <w:snapToGrid w:val="0"/>
              <w:jc w:val="center"/>
              <w:textAlignment w:val="center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kern w:val="0"/>
                <w:sz w:val="28"/>
                <w:szCs w:val="28"/>
                <w:lang/>
              </w:rPr>
              <w:t xml:space="preserve">                      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日期：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</w:t>
            </w: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 xml:space="preserve">              </w:t>
            </w:r>
          </w:p>
        </w:tc>
      </w:tr>
    </w:tbl>
    <w:p w:rsidR="00D943A4" w:rsidRDefault="00D943A4" w:rsidP="00D943A4">
      <w:pPr>
        <w:widowControl/>
        <w:snapToGrid w:val="0"/>
        <w:spacing w:line="440" w:lineRule="exact"/>
        <w:ind w:firstLineChars="200" w:firstLine="560"/>
        <w:textAlignment w:val="center"/>
        <w:rPr>
          <w:rFonts w:ascii="Times New Roman" w:eastAsia="黑体" w:hAnsi="Times New Roman"/>
          <w:kern w:val="0"/>
          <w:sz w:val="28"/>
          <w:szCs w:val="28"/>
          <w:lang/>
        </w:rPr>
      </w:pPr>
    </w:p>
    <w:p w:rsidR="00D943A4" w:rsidRDefault="00D943A4" w:rsidP="00D943A4">
      <w:pPr>
        <w:widowControl/>
        <w:snapToGrid w:val="0"/>
        <w:spacing w:line="520" w:lineRule="exact"/>
        <w:ind w:firstLineChars="100" w:firstLine="280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  <w:r>
        <w:rPr>
          <w:rFonts w:ascii="Times New Roman" w:eastAsia="黑体" w:hAnsi="Times New Roman"/>
          <w:kern w:val="0"/>
          <w:sz w:val="28"/>
          <w:szCs w:val="28"/>
          <w:lang/>
        </w:rPr>
        <w:t>注：</w:t>
      </w:r>
      <w:r>
        <w:rPr>
          <w:rFonts w:ascii="Times New Roman" w:eastAsia="黑体" w:hAnsi="Times New Roman"/>
          <w:kern w:val="0"/>
          <w:sz w:val="28"/>
          <w:szCs w:val="28"/>
          <w:lang/>
        </w:rPr>
        <w:t>1.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纳入典型案例库后，将向全社会公开；若不愿意公开，请勿申报。</w:t>
      </w:r>
    </w:p>
    <w:p w:rsidR="00D943A4" w:rsidRDefault="00D943A4" w:rsidP="00D943A4">
      <w:pPr>
        <w:widowControl/>
        <w:snapToGrid w:val="0"/>
        <w:spacing w:line="520" w:lineRule="exact"/>
        <w:ind w:firstLineChars="285" w:firstLine="798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  <w:r>
        <w:rPr>
          <w:rFonts w:ascii="Times New Roman" w:eastAsia="仿宋_GB2312" w:hAnsi="Times New Roman"/>
          <w:kern w:val="0"/>
          <w:sz w:val="28"/>
          <w:szCs w:val="28"/>
          <w:lang/>
        </w:rPr>
        <w:t>2.</w:t>
      </w:r>
      <w:r>
        <w:rPr>
          <w:rFonts w:ascii="黑体" w:eastAsia="黑体" w:hAnsi="黑体" w:cs="黑体" w:hint="eastAsia"/>
          <w:kern w:val="0"/>
          <w:sz w:val="28"/>
          <w:szCs w:val="28"/>
          <w:lang/>
        </w:rPr>
        <w:t>绿色转型典型案例：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主要是已完成的成熟实践总结，核心是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“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总结</w:t>
      </w:r>
    </w:p>
    <w:p w:rsidR="00D943A4" w:rsidRDefault="00D943A4" w:rsidP="00D943A4">
      <w:pPr>
        <w:widowControl/>
        <w:snapToGrid w:val="0"/>
        <w:spacing w:line="520" w:lineRule="exact"/>
        <w:ind w:firstLineChars="350" w:firstLine="980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  <w:r>
        <w:rPr>
          <w:rFonts w:ascii="Times New Roman" w:eastAsia="仿宋_GB2312" w:hAnsi="Times New Roman"/>
          <w:kern w:val="0"/>
          <w:sz w:val="28"/>
          <w:szCs w:val="28"/>
          <w:lang/>
        </w:rPr>
        <w:t>经验、树立标杆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”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，强调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“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已落地、有结果、可借鉴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”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。</w:t>
      </w:r>
    </w:p>
    <w:p w:rsidR="00F34A55" w:rsidRDefault="00D943A4" w:rsidP="00D943A4">
      <w:r>
        <w:rPr>
          <w:rFonts w:ascii="Times New Roman" w:eastAsia="方正黑体_GBK" w:hAnsi="Times New Roman"/>
          <w:sz w:val="32"/>
          <w:szCs w:val="32"/>
        </w:rPr>
        <w:br w:type="page"/>
      </w:r>
    </w:p>
    <w:sectPr w:rsidR="00F34A55" w:rsidSect="00F34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00"/>
    <w:family w:val="auto"/>
    <w:pitch w:val="default"/>
    <w:sig w:usb0="00000000" w:usb1="00000000" w:usb2="00000000" w:usb3="00000000" w:csb0="00040000" w:csb1="00000000"/>
  </w:font>
  <w:font w:name="仿宋_GB2312">
    <w:altName w:val="Arial Unicode MS"/>
    <w:charset w:val="00"/>
    <w:family w:val="auto"/>
    <w:pitch w:val="default"/>
    <w:sig w:usb0="00000000" w:usb1="00000000" w:usb2="00000000" w:usb3="00000000" w:csb0="00040000" w:csb1="00000000"/>
  </w:font>
  <w:font w:name="方正小标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仿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943A4"/>
    <w:rsid w:val="00D943A4"/>
    <w:rsid w:val="00F34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A4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245</Words>
  <Characters>1401</Characters>
  <Application>Microsoft Office Word</Application>
  <DocSecurity>0</DocSecurity>
  <Lines>11</Lines>
  <Paragraphs>3</Paragraphs>
  <ScaleCrop>false</ScaleCrop>
  <Company>CHINA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</cp:revision>
  <dcterms:created xsi:type="dcterms:W3CDTF">2026-04-23T02:33:00Z</dcterms:created>
  <dcterms:modified xsi:type="dcterms:W3CDTF">2026-04-23T02:33:00Z</dcterms:modified>
</cp:coreProperties>
</file>