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spacing w:line="590" w:lineRule="exact"/>
        <w:jc w:val="both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：</w:t>
      </w:r>
    </w:p>
    <w:p>
      <w:pPr>
        <w:spacing w:line="590" w:lineRule="exact"/>
        <w:jc w:val="center"/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  <w:t>新都区2026年度</w:t>
      </w:r>
    </w:p>
    <w:p>
      <w:pPr>
        <w:spacing w:line="590" w:lineRule="exact"/>
        <w:jc w:val="center"/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  <w:t>市级财政发展壮大农村集体经济项目</w:t>
      </w:r>
    </w:p>
    <w:p>
      <w:pPr>
        <w:spacing w:line="590" w:lineRule="exact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  <w:t>申报指南</w:t>
      </w:r>
    </w:p>
    <w:p>
      <w:pPr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Times New Roman" w:eastAsia="仿宋_GB2312"/>
          <w:color w:val="000000"/>
          <w:sz w:val="32"/>
          <w:szCs w:val="32"/>
        </w:rPr>
        <w:t>为认真贯彻落实党的二十大精神，巩固和完善农村基本经营制度，增强农村集体经济造血功能，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现就做好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我区</w:t>
      </w:r>
      <w:r>
        <w:rPr>
          <w:rFonts w:ascii="仿宋_GB2312" w:hAnsi="仿宋" w:eastAsia="仿宋_GB2312"/>
          <w:color w:val="000000"/>
          <w:sz w:val="32"/>
          <w:szCs w:val="32"/>
        </w:rPr>
        <w:t>市级财政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发展壮大农村集体经济项目提出如下指导意见。</w:t>
      </w:r>
    </w:p>
    <w:p>
      <w:pPr>
        <w:spacing w:line="590" w:lineRule="exact"/>
        <w:ind w:firstLine="640" w:firstLineChars="200"/>
        <w:rPr>
          <w:rFonts w:ascii="黑体" w:hAnsi="黑体" w:eastAsia="黑体"/>
          <w:color w:val="000000"/>
          <w:sz w:val="32"/>
          <w:szCs w:val="32"/>
        </w:rPr>
      </w:pPr>
      <w:r>
        <w:rPr>
          <w:rFonts w:ascii="黑体" w:hAnsi="黑体" w:eastAsia="黑体"/>
          <w:color w:val="000000"/>
          <w:sz w:val="32"/>
          <w:szCs w:val="32"/>
        </w:rPr>
        <w:t>一、目标任务</w:t>
      </w:r>
    </w:p>
    <w:p>
      <w:pPr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立足产业基础和资源优势，全面盘活集体经济发展要素，支持建设前景好、回报优的集体经济项目，进一步提升集体经济造血功能，切实发挥农村集体经济组织在提升乡村全面振兴、实现农业农村现代化和促进农民增收的作用。</w:t>
      </w:r>
    </w:p>
    <w:p>
      <w:pPr>
        <w:spacing w:line="590" w:lineRule="exact"/>
        <w:ind w:firstLine="640" w:firstLineChars="200"/>
        <w:rPr>
          <w:rFonts w:ascii="黑体" w:hAnsi="黑体" w:eastAsia="黑体"/>
          <w:color w:val="000000"/>
          <w:sz w:val="32"/>
          <w:szCs w:val="32"/>
        </w:rPr>
      </w:pPr>
      <w:r>
        <w:rPr>
          <w:rFonts w:ascii="黑体" w:hAnsi="黑体" w:eastAsia="黑体"/>
          <w:color w:val="000000"/>
          <w:sz w:val="32"/>
          <w:szCs w:val="32"/>
        </w:rPr>
        <w:t>二、</w:t>
      </w:r>
      <w:r>
        <w:rPr>
          <w:rFonts w:hint="eastAsia" w:ascii="黑体" w:hAnsi="黑体" w:eastAsia="黑体"/>
          <w:color w:val="000000"/>
          <w:sz w:val="32"/>
          <w:szCs w:val="32"/>
        </w:rPr>
        <w:t>支持</w:t>
      </w:r>
      <w:r>
        <w:rPr>
          <w:rFonts w:ascii="黑体" w:hAnsi="黑体" w:eastAsia="黑体"/>
          <w:color w:val="000000"/>
          <w:sz w:val="32"/>
          <w:szCs w:val="32"/>
        </w:rPr>
        <w:t>主体</w:t>
      </w:r>
    </w:p>
    <w:p>
      <w:pPr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新都区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辖区范围内的</w:t>
      </w:r>
      <w:r>
        <w:rPr>
          <w:rFonts w:hint="eastAsia" w:ascii="仿宋_GB2312" w:hAnsi="方正仿宋_GBK" w:eastAsia="仿宋_GB2312" w:cs="方正仿宋_GBK"/>
          <w:sz w:val="32"/>
          <w:szCs w:val="32"/>
        </w:rPr>
        <w:t>村级农村集体经济组织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。</w:t>
      </w:r>
    </w:p>
    <w:p>
      <w:pPr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三、申报条件</w:t>
      </w:r>
    </w:p>
    <w:p>
      <w:pPr>
        <w:adjustRightInd w:val="0"/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（一）按照《成都市农业农村局政府投入“三农”重大项目储备库管理办法》（成农计〔2020〕5号）规定，经项目储备，纳入市级储备库的项目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（附件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2：市级财政发展壮大农村集体经济储备入库未实施项目表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。</w:t>
      </w:r>
    </w:p>
    <w:p>
      <w:pPr>
        <w:adjustRightInd w:val="0"/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（二）</w:t>
      </w:r>
      <w:r>
        <w:rPr>
          <w:rFonts w:ascii="仿宋_GB2312" w:hAnsi="楷体_GB2312" w:eastAsia="仿宋_GB2312" w:cs="仿宋_GB2312"/>
          <w:sz w:val="32"/>
          <w:szCs w:val="32"/>
        </w:rPr>
        <w:t>已</w:t>
      </w:r>
      <w:r>
        <w:rPr>
          <w:rFonts w:hint="eastAsia" w:ascii="仿宋_GB2312" w:hAnsi="楷体_GB2312" w:eastAsia="仿宋_GB2312" w:cs="仿宋_GB2312"/>
          <w:sz w:val="32"/>
          <w:szCs w:val="32"/>
        </w:rPr>
        <w:t>获2022-2025年市级财政集体经济项目资金支持</w:t>
      </w:r>
      <w:r>
        <w:rPr>
          <w:rFonts w:ascii="仿宋_GB2312" w:hAnsi="楷体_GB2312" w:eastAsia="仿宋_GB2312" w:cs="仿宋_GB2312"/>
          <w:sz w:val="32"/>
          <w:szCs w:val="32"/>
        </w:rPr>
        <w:t>，不得重复申请</w:t>
      </w:r>
      <w:r>
        <w:rPr>
          <w:rFonts w:hint="eastAsia" w:ascii="仿宋_GB2312" w:hAnsi="楷体_GB2312" w:eastAsia="仿宋_GB2312" w:cs="仿宋_GB2312"/>
          <w:sz w:val="32"/>
          <w:szCs w:val="32"/>
        </w:rPr>
        <w:t>；</w:t>
      </w:r>
      <w:r>
        <w:rPr>
          <w:rFonts w:hint="eastAsia" w:ascii="仿宋_GB2312" w:hAnsi="仿宋_GB2312" w:eastAsia="仿宋_GB2312" w:cs="仿宋_GB2312"/>
          <w:kern w:val="1"/>
          <w:sz w:val="32"/>
          <w:szCs w:val="32"/>
        </w:rPr>
        <w:t>同一项目的相同建设内容已享受其他财政补助，不得重复享受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。</w:t>
      </w:r>
    </w:p>
    <w:p>
      <w:pPr>
        <w:adjustRightInd w:val="0"/>
        <w:spacing w:line="590" w:lineRule="exact"/>
        <w:ind w:firstLine="640" w:firstLineChars="200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四、项目性质</w:t>
      </w:r>
    </w:p>
    <w:p>
      <w:pPr>
        <w:adjustRightInd w:val="0"/>
        <w:spacing w:line="590" w:lineRule="exact"/>
        <w:ind w:firstLine="640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color w:val="000000"/>
          <w:sz w:val="32"/>
          <w:szCs w:val="32"/>
        </w:rPr>
        <w:t>项目采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取“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区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级审批市级备案制”</w:t>
      </w:r>
      <w:r>
        <w:rPr>
          <w:rFonts w:ascii="仿宋_GB2312" w:eastAsia="仿宋_GB2312"/>
          <w:color w:val="000000"/>
          <w:sz w:val="32"/>
          <w:szCs w:val="32"/>
        </w:rPr>
        <w:t>，由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区农业农村局</w:t>
      </w:r>
      <w:r>
        <w:rPr>
          <w:rFonts w:ascii="仿宋_GB2312" w:eastAsia="仿宋_GB2312"/>
          <w:color w:val="000000"/>
          <w:sz w:val="32"/>
          <w:szCs w:val="32"/>
        </w:rPr>
        <w:t>负责</w:t>
      </w:r>
      <w:r>
        <w:rPr>
          <w:rFonts w:hint="eastAsia" w:ascii="仿宋_GB2312" w:eastAsia="仿宋_GB2312"/>
          <w:color w:val="000000"/>
          <w:sz w:val="32"/>
          <w:szCs w:val="32"/>
        </w:rPr>
        <w:t>项目申报、审批、立项、申请备案等工作，并对项目进行</w:t>
      </w:r>
      <w:r>
        <w:rPr>
          <w:rFonts w:ascii="仿宋_GB2312" w:eastAsia="仿宋_GB2312"/>
          <w:color w:val="000000"/>
          <w:sz w:val="32"/>
          <w:szCs w:val="32"/>
        </w:rPr>
        <w:t>监督、管理、</w:t>
      </w:r>
      <w:r>
        <w:rPr>
          <w:rFonts w:hint="eastAsia" w:ascii="仿宋_GB2312" w:eastAsia="仿宋_GB2312"/>
          <w:color w:val="000000"/>
          <w:sz w:val="32"/>
          <w:szCs w:val="32"/>
        </w:rPr>
        <w:t>验收</w:t>
      </w:r>
      <w:r>
        <w:rPr>
          <w:rFonts w:ascii="仿宋_GB2312" w:eastAsia="仿宋_GB2312"/>
          <w:color w:val="000000"/>
          <w:sz w:val="32"/>
          <w:szCs w:val="32"/>
        </w:rPr>
        <w:t>、绩效</w:t>
      </w:r>
      <w:r>
        <w:rPr>
          <w:rFonts w:hint="eastAsia" w:ascii="仿宋_GB2312" w:eastAsia="仿宋_GB2312"/>
          <w:color w:val="000000"/>
          <w:sz w:val="32"/>
          <w:szCs w:val="32"/>
        </w:rPr>
        <w:t>评价</w:t>
      </w:r>
      <w:r>
        <w:rPr>
          <w:rFonts w:ascii="仿宋_GB2312" w:eastAsia="仿宋_GB2312"/>
          <w:color w:val="000000"/>
          <w:sz w:val="32"/>
          <w:szCs w:val="32"/>
        </w:rPr>
        <w:t>等。</w:t>
      </w:r>
    </w:p>
    <w:p>
      <w:pPr>
        <w:adjustRightInd w:val="0"/>
        <w:snapToGrid w:val="0"/>
        <w:spacing w:line="59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五、补助标准</w:t>
      </w:r>
    </w:p>
    <w:p>
      <w:pPr>
        <w:adjustRightInd w:val="0"/>
        <w:snapToGrid w:val="0"/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单个项目补助市级财政资金150万元。</w:t>
      </w:r>
    </w:p>
    <w:p>
      <w:pPr>
        <w:adjustRightInd w:val="0"/>
        <w:snapToGrid w:val="0"/>
        <w:spacing w:line="59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六、资金支持方向</w:t>
      </w:r>
    </w:p>
    <w:p>
      <w:pPr>
        <w:adjustRightInd w:val="0"/>
        <w:snapToGrid w:val="0"/>
        <w:spacing w:line="590" w:lineRule="exact"/>
        <w:ind w:firstLine="636" w:firstLineChars="199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主要建设内容为可以产生经营收益的集体经营性项目，包括：新（改、扩）建经营场所、购置生产经营所需设施设备、盘活农村集体闲置资产、开发农村集体闲置资源、经营性项目配套设施建设，以及其他可以增加集体经济收入的经营性项目。</w:t>
      </w:r>
    </w:p>
    <w:p>
      <w:pPr>
        <w:adjustRightInd w:val="0"/>
        <w:snapToGrid w:val="0"/>
        <w:spacing w:line="590" w:lineRule="exact"/>
        <w:ind w:firstLine="636" w:firstLineChars="199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土地整理项目、集中安置项目、公益性项目不纳入申报范围。资金不得用于与项目建设无关的支出，如偿还债务、购置车辆、发放人员工作补贴等；资金不得用于支付土地获得成本、征地拆迁、房屋租金等费用；资金不得用于购买理财产品、铺货等；资金不得用于设计、造价、监理等二类费用。</w:t>
      </w:r>
    </w:p>
    <w:p>
      <w:pPr>
        <w:spacing w:line="590" w:lineRule="exact"/>
        <w:ind w:firstLine="637"/>
        <w:rPr>
          <w:rFonts w:ascii="黑体" w:hAnsi="黑体" w:eastAsia="黑体" w:cs="黑体"/>
          <w:kern w:val="1"/>
          <w:sz w:val="32"/>
          <w:szCs w:val="32"/>
        </w:rPr>
      </w:pPr>
      <w:r>
        <w:rPr>
          <w:rFonts w:hint="eastAsia" w:ascii="黑体" w:hAnsi="黑体" w:eastAsia="黑体" w:cs="黑体"/>
          <w:kern w:val="1"/>
          <w:sz w:val="32"/>
          <w:szCs w:val="32"/>
        </w:rPr>
        <w:t>七、项目完成期限</w:t>
      </w:r>
    </w:p>
    <w:p>
      <w:pPr>
        <w:spacing w:line="590" w:lineRule="exact"/>
        <w:ind w:firstLine="640" w:firstLineChars="200"/>
        <w:rPr>
          <w:lang w:val="en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按照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区</w:t>
      </w:r>
      <w:r>
        <w:rPr>
          <w:rFonts w:hint="eastAsia" w:ascii="仿宋_GB2312" w:eastAsia="仿宋_GB2312"/>
          <w:color w:val="000000"/>
          <w:sz w:val="32"/>
          <w:szCs w:val="32"/>
        </w:rPr>
        <w:t>级批复的实施方案要求期限完成项目建设，建设周期原则上不超过一年</w:t>
      </w:r>
      <w:r>
        <w:rPr>
          <w:rFonts w:hint="eastAsia" w:ascii="仿宋_GB2312" w:eastAsia="仿宋_GB2312" w:cs="仿宋_GB2312"/>
          <w:sz w:val="32"/>
          <w:szCs w:val="32"/>
        </w:rPr>
        <w:t>。</w:t>
      </w:r>
    </w:p>
    <w:p>
      <w:pPr>
        <w:adjustRightInd w:val="0"/>
        <w:snapToGrid w:val="0"/>
        <w:spacing w:line="590" w:lineRule="exact"/>
        <w:ind w:firstLine="636" w:firstLineChars="199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八、项目</w:t>
      </w:r>
      <w:r>
        <w:rPr>
          <w:rFonts w:hint="eastAsia" w:ascii="黑体" w:hAnsi="黑体" w:eastAsia="黑体"/>
          <w:color w:val="000000"/>
          <w:sz w:val="32"/>
          <w:szCs w:val="32"/>
          <w:lang w:eastAsia="zh-CN"/>
        </w:rPr>
        <w:t>管理</w:t>
      </w:r>
      <w:r>
        <w:rPr>
          <w:rFonts w:hint="eastAsia" w:ascii="黑体" w:hAnsi="黑体" w:eastAsia="黑体"/>
          <w:color w:val="000000"/>
          <w:sz w:val="32"/>
          <w:szCs w:val="32"/>
        </w:rPr>
        <w:t>程序</w:t>
      </w:r>
    </w:p>
    <w:p>
      <w:pPr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</w:pPr>
      <w:r>
        <w:rPr>
          <w:rFonts w:hint="eastAsia" w:ascii="楷体_GB2312" w:hAnsi="楷体" w:eastAsia="楷体_GB2312" w:cs="仿宋_GB2312"/>
          <w:color w:val="000000"/>
          <w:sz w:val="32"/>
          <w:szCs w:val="32"/>
        </w:rPr>
        <w:t>（</w:t>
      </w:r>
      <w:r>
        <w:rPr>
          <w:rFonts w:hint="eastAsia" w:ascii="楷体_GB2312" w:hAnsi="楷体" w:eastAsia="楷体_GB2312" w:cs="仿宋_GB2312"/>
          <w:color w:val="000000"/>
          <w:sz w:val="32"/>
          <w:szCs w:val="32"/>
          <w:lang w:eastAsia="zh-CN"/>
        </w:rPr>
        <w:t>一</w:t>
      </w:r>
      <w:r>
        <w:rPr>
          <w:rFonts w:hint="eastAsia" w:ascii="楷体_GB2312" w:hAnsi="楷体" w:eastAsia="楷体_GB2312" w:cs="仿宋_GB2312"/>
          <w:color w:val="000000"/>
          <w:sz w:val="32"/>
          <w:szCs w:val="32"/>
        </w:rPr>
        <w:t>）</w:t>
      </w:r>
      <w:r>
        <w:rPr>
          <w:rFonts w:hint="eastAsia" w:ascii="楷体_GB2312" w:hAnsi="楷体" w:eastAsia="楷体_GB2312" w:cs="仿宋_GB2312"/>
          <w:color w:val="000000"/>
          <w:sz w:val="32"/>
          <w:szCs w:val="32"/>
          <w:lang w:eastAsia="zh-CN"/>
        </w:rPr>
        <w:t>镇（街）申报</w:t>
      </w:r>
      <w:r>
        <w:rPr>
          <w:rFonts w:hint="eastAsia" w:ascii="楷体_GB2312" w:hAnsi="楷体" w:eastAsia="楷体_GB2312" w:cs="仿宋_GB2312"/>
          <w:color w:val="000000"/>
          <w:sz w:val="32"/>
          <w:szCs w:val="32"/>
        </w:rPr>
        <w:t>。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各镇（街）按照《新都区2026年度市级财政发展壮大农村集体经济项目申报指南》组织辖区内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经项目储备，纳入市级储备库的项目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（附件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2）所属集体经济组织进行申报，对项目的时效性、真实性和投资收益情况等进行核实。</w:t>
      </w:r>
    </w:p>
    <w:p>
      <w:pPr>
        <w:spacing w:line="590" w:lineRule="exact"/>
        <w:ind w:firstLine="640" w:firstLineChars="200"/>
        <w:rPr>
          <w:rFonts w:hint="eastAsia" w:ascii="楷体_GB2312" w:hAnsi="楷体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楷体_GB2312" w:hAnsi="楷体" w:eastAsia="楷体_GB2312" w:cs="仿宋_GB2312"/>
          <w:color w:val="000000"/>
          <w:sz w:val="32"/>
          <w:szCs w:val="32"/>
        </w:rPr>
        <w:t>（二）</w:t>
      </w:r>
      <w:r>
        <w:rPr>
          <w:rFonts w:hint="eastAsia" w:ascii="楷体_GB2312" w:hAnsi="楷体" w:eastAsia="楷体_GB2312" w:cs="仿宋_GB2312"/>
          <w:color w:val="000000"/>
          <w:sz w:val="32"/>
          <w:szCs w:val="32"/>
          <w:lang w:eastAsia="zh-CN"/>
        </w:rPr>
        <w:t>区级评审立项市级备案。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区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农业农村局组织局属相关科室和区财政局、区规自局等相关单位及评审专家对项目进行公开评审，择优选择项目报局党组审批立项后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报市农业农村局预审，并根据市农业农村局出具的《预审意见书》，于10个工作日内完善项目实施方案后正式行文上报市农业农村局备案。</w:t>
      </w:r>
    </w:p>
    <w:p>
      <w:pPr>
        <w:spacing w:line="59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（三）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区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级项目批复。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区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农业农村局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在市农业农村局专项资金预算批复后，商财政部门将审批立项情况以正式文件通知到各项目实施单位，明确项目建设内容、完成时间、资金拨付、项目责任、质量要求、验收和绩效考评等要求。</w:t>
      </w:r>
    </w:p>
    <w:p>
      <w:pPr>
        <w:spacing w:line="590" w:lineRule="exact"/>
        <w:ind w:firstLine="640" w:firstLineChars="200"/>
        <w:rPr>
          <w:rFonts w:hint="eastAsia" w:ascii="仿宋_GB2312" w:hAnsi="楷体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（四）项目实施。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项目实施单位要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严格按照经备案项目实施方案的投资规模、建设地点、建设内容、建设标准、建设期限实施项目，</w:t>
      </w:r>
      <w:r>
        <w:rPr>
          <w:rFonts w:hint="eastAsia" w:ascii="仿宋_GB2312" w:hAnsi="楷体_GB2312" w:eastAsia="仿宋_GB2312" w:cs="仿宋_GB2312"/>
          <w:color w:val="000000"/>
          <w:sz w:val="32"/>
          <w:szCs w:val="32"/>
        </w:rPr>
        <w:t>不得擅自调整、变更项目建设地点、建设内容和规模，如要变更需的，按照市级财政农业专项资金管理有关规定执行，涉及项目重大变更原则上不超过一次。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（五）项目验收。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按照《成都市农业农村局财政农业项目验收管理办法》（成农计〔2020〕4号）和财政项目支出绩效评价的有关要求，项目建设完成后，</w:t>
      </w:r>
      <w:r>
        <w:rPr>
          <w:rFonts w:hint="eastAsia" w:ascii="仿宋" w:hAnsi="仿宋" w:eastAsia="仿宋" w:cs="仿宋"/>
          <w:sz w:val="32"/>
          <w:szCs w:val="32"/>
        </w:rPr>
        <w:t>由区农业农村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局</w:t>
      </w:r>
      <w:r>
        <w:rPr>
          <w:rFonts w:hint="eastAsia" w:ascii="仿宋" w:hAnsi="仿宋" w:eastAsia="仿宋" w:cs="仿宋"/>
          <w:sz w:val="32"/>
          <w:szCs w:val="32"/>
        </w:rPr>
        <w:t>组织相关专家或技术人员，对建设完成的项目逐项检查核对，对实物量和资金量进行计算，对项目决策、项目管理、资金使用、目标完成和项目效果等进行考核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，并委托第三方专业审计机构对项目进行审计。</w:t>
      </w:r>
    </w:p>
    <w:p>
      <w:pPr>
        <w:pStyle w:val="14"/>
        <w:spacing w:line="590" w:lineRule="exact"/>
        <w:ind w:firstLine="640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九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、项目监督检查</w:t>
      </w:r>
    </w:p>
    <w:p>
      <w:pPr>
        <w:spacing w:line="590" w:lineRule="exact"/>
        <w:ind w:firstLine="640" w:firstLineChars="200"/>
        <w:rPr>
          <w:rFonts w:ascii="仿宋_GB2312" w:eastAsia="仿宋_GB2312" w:cs="仿宋_GB2312"/>
          <w:color w:val="000000"/>
          <w:sz w:val="32"/>
          <w:szCs w:val="32"/>
        </w:rPr>
      </w:pPr>
      <w:r>
        <w:rPr>
          <w:rFonts w:ascii="楷体_GB2312" w:hAnsi="华文楷体" w:eastAsia="楷体_GB2312"/>
          <w:color w:val="000000"/>
          <w:sz w:val="32"/>
          <w:szCs w:val="32"/>
        </w:rPr>
        <w:t>（一）明确工作职责。</w:t>
      </w:r>
      <w:r>
        <w:rPr>
          <w:rFonts w:ascii="仿宋_GB2312" w:eastAsia="仿宋_GB2312"/>
          <w:color w:val="000000"/>
          <w:sz w:val="32"/>
          <w:szCs w:val="32"/>
        </w:rPr>
        <w:t>区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农业农村局</w:t>
      </w:r>
      <w:r>
        <w:rPr>
          <w:rFonts w:ascii="仿宋_GB2312" w:eastAsia="仿宋_GB2312" w:cs="仿宋_GB2312"/>
          <w:color w:val="000000"/>
          <w:sz w:val="32"/>
          <w:szCs w:val="32"/>
        </w:rPr>
        <w:t>为项目管理的责任主体，对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项目</w:t>
      </w:r>
      <w:r>
        <w:rPr>
          <w:rFonts w:ascii="仿宋_GB2312" w:eastAsia="仿宋_GB2312" w:cs="仿宋_GB2312"/>
          <w:color w:val="000000"/>
          <w:sz w:val="32"/>
          <w:szCs w:val="32"/>
        </w:rPr>
        <w:t>实施方案的可行性、真实性和项目建设、管理、验收承担责任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，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由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专人对项目方案编制进行指导，加强项目的跟踪管理，及时协调解决项目建设过程中出现的困难问题。</w:t>
      </w:r>
    </w:p>
    <w:p>
      <w:pPr>
        <w:pStyle w:val="8"/>
        <w:spacing w:after="0" w:line="590" w:lineRule="exact"/>
        <w:ind w:left="0" w:leftChars="0" w:firstLine="640"/>
        <w:rPr>
          <w:rFonts w:asci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（二）规范项目用地。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涉及有工程建设内容的项目，要严格落实规划、土地、环保等规定要求。严格执行中央省市关于防止耕地“非粮化”，稳定粮食生产的有关规定，对在永久性基本农田和粮食功能区从事“非粮化”生产的项目，不得给予任何财政补助。</w:t>
      </w:r>
    </w:p>
    <w:p>
      <w:pPr>
        <w:spacing w:line="590" w:lineRule="exact"/>
        <w:ind w:firstLine="640" w:firstLineChars="200"/>
        <w:rPr>
          <w:rFonts w:hint="eastAsia" w:ascii="仿宋_GB2312" w:hAnsi="宋体" w:eastAsia="仿宋_GB2312" w:cs="仿宋_GB2312"/>
          <w:kern w:val="0"/>
          <w:sz w:val="32"/>
          <w:szCs w:val="32"/>
        </w:rPr>
      </w:pPr>
      <w:r>
        <w:rPr>
          <w:rFonts w:hint="eastAsia" w:ascii="楷体_GB2312" w:hAnsi="楷体" w:eastAsia="楷体_GB2312" w:cs="楷体_GB2312"/>
          <w:kern w:val="1"/>
          <w:sz w:val="32"/>
          <w:szCs w:val="32"/>
        </w:rPr>
        <w:t>（三）加强资金监督。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严格落实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eastAsia="zh-CN"/>
        </w:rPr>
        <w:t>区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级报账制，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eastAsia="zh-CN"/>
        </w:rPr>
        <w:t>按照项目启动拨付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val="en-US" w:eastAsia="zh-CN"/>
        </w:rPr>
        <w:t>30%，主体完工拨付50%，审计通过拨付20%的方式拨付资金，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确保项目顺利完成。</w:t>
      </w:r>
    </w:p>
    <w:p>
      <w:pPr>
        <w:spacing w:line="590" w:lineRule="exact"/>
        <w:ind w:firstLine="640" w:firstLineChars="200"/>
        <w:rPr>
          <w:rFonts w:hint="eastAsia"/>
        </w:rPr>
      </w:pPr>
      <w:r>
        <w:rPr>
          <w:rFonts w:hint="eastAsia" w:ascii="楷体_GB2312" w:hAnsi="华文楷体" w:eastAsia="楷体_GB2312"/>
          <w:color w:val="000000"/>
          <w:sz w:val="32"/>
          <w:szCs w:val="32"/>
        </w:rPr>
        <w:t>（四）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强化建后管护。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bidi="ar"/>
        </w:rPr>
        <w:t>项目竣工验收后，村集体在30天内录入市农村集体“三资”监管系统。村集体要建立健全管护制度，明确管护主体，建立管护台账，落实管护责任，确保工程设施运行良好、工程效益长效发挥。</w:t>
      </w:r>
    </w:p>
    <w:p>
      <w:pPr>
        <w:spacing w:line="59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ascii="楷体_GB2312" w:hAnsi="华文楷体" w:eastAsia="楷体_GB2312"/>
          <w:color w:val="000000"/>
          <w:sz w:val="32"/>
          <w:szCs w:val="32"/>
        </w:rPr>
        <w:t>（</w:t>
      </w:r>
      <w:r>
        <w:rPr>
          <w:rFonts w:hint="eastAsia" w:ascii="楷体_GB2312" w:hAnsi="华文楷体" w:eastAsia="楷体_GB2312"/>
          <w:color w:val="000000"/>
          <w:sz w:val="32"/>
          <w:szCs w:val="32"/>
        </w:rPr>
        <w:t>五</w:t>
      </w:r>
      <w:r>
        <w:rPr>
          <w:rFonts w:ascii="楷体_GB2312" w:hAnsi="华文楷体" w:eastAsia="楷体_GB2312"/>
          <w:color w:val="000000"/>
          <w:sz w:val="32"/>
          <w:szCs w:val="32"/>
        </w:rPr>
        <w:t>）加强绩效考评。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项目实施单位</w:t>
      </w:r>
      <w:r>
        <w:rPr>
          <w:rFonts w:hint="eastAsia" w:ascii="仿宋_GB2312" w:eastAsia="仿宋_GB2312"/>
          <w:color w:val="000000"/>
          <w:sz w:val="32"/>
          <w:szCs w:val="32"/>
        </w:rPr>
        <w:t>要牢固树立绩效意识，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按照预定的</w:t>
      </w:r>
      <w:r>
        <w:rPr>
          <w:rFonts w:hint="eastAsia" w:ascii="仿宋_GB2312" w:eastAsia="仿宋_GB2312"/>
          <w:color w:val="000000"/>
          <w:sz w:val="32"/>
          <w:szCs w:val="32"/>
        </w:rPr>
        <w:t>绩效目标，并结合实施情况做好项目总结和绩效自评，建立详实的项目档案资料，确保用好用活项目资金，充分发挥财政资金使用效益。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东文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ind w:right="294" w:rightChars="140" w:firstLine="280" w:firstLineChars="100"/>
      <w:rPr>
        <w:rStyle w:val="11"/>
        <w:rFonts w:ascii="宋体"/>
        <w:sz w:val="28"/>
        <w:szCs w:val="28"/>
      </w:rPr>
    </w:pPr>
    <w:r>
      <w:rPr>
        <w:rStyle w:val="11"/>
        <w:rFonts w:hint="eastAsia" w:ascii="宋体" w:hAnsi="宋体"/>
        <w:sz w:val="28"/>
        <w:szCs w:val="28"/>
      </w:rPr>
      <w:t>－</w:t>
    </w:r>
    <w:r>
      <w:rPr>
        <w:rStyle w:val="11"/>
        <w:rFonts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/>
        <w:sz w:val="28"/>
        <w:szCs w:val="28"/>
      </w:rPr>
      <w:t>17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ascii="宋体" w:hAnsi="宋体"/>
        <w:sz w:val="28"/>
        <w:szCs w:val="28"/>
      </w:rPr>
      <w:t xml:space="preserve"> </w:t>
    </w:r>
    <w:r>
      <w:rPr>
        <w:rStyle w:val="11"/>
        <w:rFonts w:hint="eastAsia" w:ascii="宋体" w:hAnsi="宋体"/>
        <w:sz w:val="28"/>
        <w:szCs w:val="28"/>
      </w:rPr>
      <w:t>－</w:t>
    </w:r>
  </w:p>
  <w:p>
    <w:pPr>
      <w:pStyle w:val="6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A213B4"/>
    <w:rsid w:val="04517ADA"/>
    <w:rsid w:val="0E626039"/>
    <w:rsid w:val="10194F38"/>
    <w:rsid w:val="2846094D"/>
    <w:rsid w:val="35AB6082"/>
    <w:rsid w:val="43A213B4"/>
    <w:rsid w:val="445B2AAE"/>
    <w:rsid w:val="45DF0477"/>
    <w:rsid w:val="46E61D97"/>
    <w:rsid w:val="536D63C6"/>
    <w:rsid w:val="56E16AC4"/>
    <w:rsid w:val="57723A72"/>
    <w:rsid w:val="660D4788"/>
    <w:rsid w:val="6FF6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3">
    <w:name w:val="Normal Indent"/>
    <w:basedOn w:val="1"/>
    <w:next w:val="1"/>
    <w:qFormat/>
    <w:uiPriority w:val="0"/>
    <w:pPr>
      <w:ind w:firstLine="420"/>
    </w:pPr>
    <w:rPr>
      <w:rFonts w:eastAsia="仿宋"/>
    </w:rPr>
  </w:style>
  <w:style w:type="paragraph" w:styleId="4">
    <w:name w:val="Body Text Indent"/>
    <w:basedOn w:val="1"/>
    <w:next w:val="3"/>
    <w:qFormat/>
    <w:uiPriority w:val="0"/>
    <w:pPr>
      <w:spacing w:after="120"/>
      <w:ind w:left="420" w:leftChars="200"/>
    </w:pPr>
  </w:style>
  <w:style w:type="paragraph" w:styleId="5">
    <w:name w:val="Body Text Indent 2"/>
    <w:basedOn w:val="1"/>
    <w:qFormat/>
    <w:uiPriority w:val="0"/>
    <w:pPr>
      <w:spacing w:after="120" w:line="480" w:lineRule="auto"/>
      <w:ind w:left="420" w:leftChars="200"/>
    </w:pPr>
    <w:rPr>
      <w:rFonts w:ascii="Times New Roman" w:hAnsi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8">
    <w:name w:val="Body Text First Indent 2"/>
    <w:basedOn w:val="4"/>
    <w:next w:val="1"/>
    <w:qFormat/>
    <w:uiPriority w:val="0"/>
    <w:pPr>
      <w:ind w:firstLine="420" w:firstLineChars="200"/>
    </w:pPr>
  </w:style>
  <w:style w:type="character" w:styleId="11">
    <w:name w:val="page number"/>
    <w:basedOn w:val="10"/>
    <w:qFormat/>
    <w:uiPriority w:val="0"/>
    <w:rPr>
      <w:rFonts w:cs="Times New Roman"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BodyText"/>
    <w:basedOn w:val="1"/>
    <w:next w:val="1"/>
    <w:qFormat/>
    <w:uiPriority w:val="0"/>
    <w:pPr>
      <w:spacing w:line="700" w:lineRule="exact"/>
    </w:pPr>
    <w:rPr>
      <w:rFonts w:eastAsia="方正小标宋简体"/>
      <w:sz w:val="36"/>
    </w:rPr>
  </w:style>
  <w:style w:type="paragraph" w:customStyle="1" w:styleId="14">
    <w:name w:val="列出段落1"/>
    <w:basedOn w:val="1"/>
    <w:qFormat/>
    <w:uiPriority w:val="99"/>
    <w:pPr>
      <w:ind w:firstLine="420" w:firstLineChars="200"/>
    </w:pPr>
  </w:style>
  <w:style w:type="character" w:customStyle="1" w:styleId="15">
    <w:name w:val="font41"/>
    <w:basedOn w:val="10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6">
    <w:name w:val="font31"/>
    <w:basedOn w:val="10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区农业农村局</Company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2026-04-10T02:12:00Z</dcterms:created>
  <dc:creator>Administrator</dc:creator>
  <cp:lastModifiedBy>Administrator</cp:lastModifiedBy>
  <cp:lastPrinted>2026-04-15T01:31:00Z</cp:lastPrinted>
  <dcterms:modified xsi:type="dcterms:W3CDTF">2026-04-15T01:38:08Z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</Properties>
</file>