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07DF64">
      <w:pPr>
        <w:pStyle w:val="2"/>
        <w:spacing w:line="451" w:lineRule="auto"/>
      </w:pPr>
    </w:p>
    <w:p w14:paraId="6BAEFE57">
      <w:pPr>
        <w:spacing w:before="101" w:line="230" w:lineRule="auto"/>
        <w:rPr>
          <w:sz w:val="32"/>
          <w:szCs w:val="32"/>
        </w:rPr>
      </w:pPr>
      <w:r>
        <w:rPr>
          <w:rFonts w:ascii="黑体" w:hAnsi="黑体" w:eastAsia="黑体" w:cs="黑体"/>
          <w:spacing w:val="-4"/>
          <w:sz w:val="32"/>
          <w:szCs w:val="32"/>
        </w:rPr>
        <w:t>附件</w:t>
      </w:r>
      <w:r>
        <w:rPr>
          <w:rFonts w:ascii="黑体" w:hAnsi="黑体" w:eastAsia="黑体" w:cs="黑体"/>
          <w:spacing w:val="-61"/>
          <w:sz w:val="32"/>
          <w:szCs w:val="32"/>
        </w:rPr>
        <w:t xml:space="preserve"> </w:t>
      </w:r>
    </w:p>
    <w:p w14:paraId="0A9FF8C1">
      <w:pPr>
        <w:pStyle w:val="2"/>
        <w:spacing w:line="244" w:lineRule="auto"/>
      </w:pPr>
    </w:p>
    <w:p w14:paraId="469AA0A4">
      <w:pPr>
        <w:pStyle w:val="2"/>
        <w:spacing w:line="244" w:lineRule="auto"/>
      </w:pPr>
    </w:p>
    <w:p w14:paraId="07607B4D">
      <w:pPr>
        <w:pStyle w:val="2"/>
        <w:spacing w:line="244" w:lineRule="auto"/>
      </w:pPr>
    </w:p>
    <w:p w14:paraId="6AE7224B">
      <w:pPr>
        <w:pStyle w:val="2"/>
        <w:spacing w:line="245" w:lineRule="auto"/>
      </w:pPr>
    </w:p>
    <w:p w14:paraId="31649EA1">
      <w:pPr>
        <w:pStyle w:val="2"/>
        <w:spacing w:line="245" w:lineRule="auto"/>
      </w:pPr>
    </w:p>
    <w:p w14:paraId="6416DDF6">
      <w:pPr>
        <w:pStyle w:val="2"/>
        <w:spacing w:line="245" w:lineRule="auto"/>
      </w:pPr>
    </w:p>
    <w:p w14:paraId="72080792">
      <w:pPr>
        <w:pStyle w:val="2"/>
        <w:spacing w:line="245" w:lineRule="auto"/>
      </w:pPr>
    </w:p>
    <w:p w14:paraId="5F81E730">
      <w:pPr>
        <w:pStyle w:val="2"/>
        <w:spacing w:line="245" w:lineRule="auto"/>
      </w:pPr>
    </w:p>
    <w:p w14:paraId="64A15AD5">
      <w:pPr>
        <w:pStyle w:val="2"/>
        <w:spacing w:line="245" w:lineRule="auto"/>
      </w:pPr>
    </w:p>
    <w:p w14:paraId="3FB0E17F">
      <w:pPr>
        <w:pStyle w:val="2"/>
        <w:spacing w:line="245" w:lineRule="auto"/>
      </w:pPr>
    </w:p>
    <w:p w14:paraId="68B03DC4">
      <w:pPr>
        <w:pStyle w:val="2"/>
        <w:spacing w:line="245" w:lineRule="auto"/>
      </w:pPr>
    </w:p>
    <w:p w14:paraId="29F10926">
      <w:pPr>
        <w:pStyle w:val="2"/>
        <w:spacing w:line="245" w:lineRule="auto"/>
      </w:pPr>
    </w:p>
    <w:p w14:paraId="26D73C5D">
      <w:pPr>
        <w:pStyle w:val="2"/>
        <w:spacing w:line="245" w:lineRule="auto"/>
      </w:pPr>
    </w:p>
    <w:p w14:paraId="09F83219">
      <w:pPr>
        <w:pStyle w:val="2"/>
        <w:spacing w:line="245" w:lineRule="auto"/>
      </w:pPr>
    </w:p>
    <w:p w14:paraId="38E2C77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lang w:val="en-US" w:eastAsia="zh-CN"/>
        </w:rPr>
      </w:pPr>
      <w:r>
        <w:rPr>
          <w:rFonts w:hint="eastAsia" w:ascii="方正小标宋简体" w:hAnsi="方正小标宋简体" w:eastAsia="方正小标宋简体" w:cs="方正小标宋简体"/>
          <w:spacing w:val="20"/>
          <w:w w:val="100"/>
          <w:position w:val="-1"/>
          <w:sz w:val="52"/>
          <w:szCs w:val="52"/>
        </w:rPr>
        <w:t>济南市</w:t>
      </w:r>
      <w:r>
        <w:rPr>
          <w:rFonts w:hint="eastAsia" w:ascii="方正小标宋简体" w:hAnsi="方正小标宋简体" w:eastAsia="方正小标宋简体" w:cs="方正小标宋简体"/>
          <w:spacing w:val="20"/>
          <w:w w:val="100"/>
          <w:position w:val="-1"/>
          <w:sz w:val="52"/>
          <w:szCs w:val="52"/>
          <w:lang w:val="en-US" w:eastAsia="zh-CN"/>
        </w:rPr>
        <w:t>新能源装备领域创新任务</w:t>
      </w:r>
    </w:p>
    <w:p w14:paraId="37C0090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r>
        <w:rPr>
          <w:rFonts w:hint="eastAsia" w:ascii="方正小标宋简体" w:hAnsi="方正小标宋简体" w:eastAsia="方正小标宋简体" w:cs="方正小标宋简体"/>
          <w:spacing w:val="20"/>
          <w:w w:val="100"/>
          <w:position w:val="-1"/>
          <w:sz w:val="52"/>
          <w:szCs w:val="52"/>
        </w:rPr>
        <w:t>“揭榜挂帅”</w:t>
      </w:r>
      <w:bookmarkStart w:id="0" w:name="_GoBack"/>
      <w:bookmarkEnd w:id="0"/>
      <w:r>
        <w:rPr>
          <w:rFonts w:hint="eastAsia" w:ascii="方正小标宋简体" w:hAnsi="方正小标宋简体" w:eastAsia="方正小标宋简体" w:cs="方正小标宋简体"/>
          <w:spacing w:val="20"/>
          <w:w w:val="100"/>
          <w:position w:val="-1"/>
          <w:sz w:val="52"/>
          <w:szCs w:val="52"/>
        </w:rPr>
        <w:t>榜单</w:t>
      </w:r>
    </w:p>
    <w:p w14:paraId="139DE30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p>
    <w:p w14:paraId="350A009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p>
    <w:p w14:paraId="3D929D0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p>
    <w:p w14:paraId="66C0875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p>
    <w:p w14:paraId="3E013AD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p>
    <w:p w14:paraId="01E568F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jc w:val="center"/>
        <w:textAlignment w:val="baseline"/>
        <w:rPr>
          <w:rFonts w:hint="eastAsia" w:ascii="方正小标宋简体" w:hAnsi="方正小标宋简体" w:eastAsia="方正小标宋简体" w:cs="方正小标宋简体"/>
          <w:spacing w:val="20"/>
          <w:w w:val="100"/>
          <w:position w:val="-1"/>
          <w:sz w:val="52"/>
          <w:szCs w:val="52"/>
        </w:rPr>
      </w:pPr>
    </w:p>
    <w:p w14:paraId="3B36432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jc w:val="both"/>
        <w:textAlignment w:val="baseline"/>
        <w:rPr>
          <w:rFonts w:hint="eastAsia" w:ascii="楷体_GB2312" w:hAnsi="楷体_GB2312" w:eastAsia="楷体_GB2312" w:cs="楷体_GB2312"/>
          <w:b w:val="0"/>
          <w:bCs w:val="0"/>
          <w:sz w:val="30"/>
          <w:szCs w:val="30"/>
        </w:rPr>
      </w:pPr>
      <w:r>
        <w:rPr>
          <w:rFonts w:hint="eastAsia" w:ascii="楷体_GB2312" w:hAnsi="楷体_GB2312" w:eastAsia="楷体_GB2312" w:cs="楷体_GB2312"/>
          <w:b w:val="0"/>
          <w:bCs w:val="0"/>
          <w:sz w:val="30"/>
          <w:szCs w:val="30"/>
          <w:lang w:eastAsia="zh-CN"/>
        </w:rPr>
        <w:t>（</w:t>
      </w:r>
      <w:r>
        <w:rPr>
          <w:rFonts w:hint="eastAsia" w:ascii="楷体_GB2312" w:hAnsi="楷体_GB2312" w:eastAsia="楷体_GB2312" w:cs="楷体_GB2312"/>
          <w:b w:val="0"/>
          <w:bCs w:val="0"/>
          <w:sz w:val="30"/>
          <w:szCs w:val="30"/>
          <w:lang w:val="en-US" w:eastAsia="zh-CN"/>
        </w:rPr>
        <w:t>一</w:t>
      </w:r>
      <w:r>
        <w:rPr>
          <w:rFonts w:hint="eastAsia" w:ascii="楷体_GB2312" w:hAnsi="楷体_GB2312" w:eastAsia="楷体_GB2312" w:cs="楷体_GB2312"/>
          <w:b w:val="0"/>
          <w:bCs w:val="0"/>
          <w:sz w:val="30"/>
          <w:szCs w:val="30"/>
          <w:lang w:eastAsia="zh-CN"/>
        </w:rPr>
        <w:t>）</w:t>
      </w:r>
      <w:r>
        <w:rPr>
          <w:rFonts w:hint="eastAsia" w:ascii="楷体_GB2312" w:hAnsi="楷体_GB2312" w:eastAsia="楷体_GB2312" w:cs="楷体_GB2312"/>
          <w:b w:val="0"/>
          <w:bCs w:val="0"/>
          <w:sz w:val="30"/>
          <w:szCs w:val="30"/>
        </w:rPr>
        <w:t>高性能储能电池核心技术研发及产业化</w:t>
      </w:r>
    </w:p>
    <w:p w14:paraId="3BF6F7F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1.需求描述</w:t>
      </w:r>
    </w:p>
    <w:p w14:paraId="12E32809">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Style w:val="5"/>
          <w:rFonts w:hint="eastAsia" w:ascii="仿宋_GB2312" w:hAnsi="仿宋_GB2312" w:eastAsia="仿宋_GB2312" w:cs="仿宋_GB2312"/>
          <w:sz w:val="30"/>
          <w:szCs w:val="30"/>
        </w:rPr>
      </w:pPr>
      <w:r>
        <w:rPr>
          <w:rStyle w:val="5"/>
          <w:rFonts w:hint="eastAsia" w:ascii="仿宋_GB2312" w:hAnsi="仿宋_GB2312" w:eastAsia="仿宋_GB2312" w:cs="仿宋_GB2312"/>
          <w:sz w:val="30"/>
          <w:szCs w:val="30"/>
        </w:rPr>
        <w:t>聚焦固态储能电池领域关键技术，拟突破高安全性固态电解质设计、高比能电极界面调控、100Ah级电芯工程化制备及混合储能系统集成等核心难题，解决传统锂电池热失控风险高、能量密度受限等问题，实现储能系统本质安全与性能跃升。</w:t>
      </w:r>
    </w:p>
    <w:p w14:paraId="04E8987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2.需解决的共性技术问题</w:t>
      </w:r>
    </w:p>
    <w:p w14:paraId="7CC503B7">
      <w:pPr>
        <w:pStyle w:val="6"/>
        <w:keepNext w:val="0"/>
        <w:keepLines w:val="0"/>
        <w:pageBreakBefore w:val="0"/>
        <w:widowControl w:val="0"/>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rPr>
      </w:pPr>
      <w:r>
        <w:rPr>
          <w:rStyle w:val="5"/>
          <w:rFonts w:hint="eastAsia" w:ascii="仿宋_GB2312" w:hAnsi="仿宋_GB2312" w:eastAsia="仿宋_GB2312" w:cs="仿宋_GB2312"/>
          <w:sz w:val="30"/>
          <w:szCs w:val="30"/>
          <w:lang w:eastAsia="zh-CN"/>
        </w:rPr>
        <w:t>（</w:t>
      </w:r>
      <w:r>
        <w:rPr>
          <w:rStyle w:val="5"/>
          <w:rFonts w:hint="eastAsia" w:ascii="仿宋_GB2312" w:hAnsi="仿宋_GB2312" w:eastAsia="仿宋_GB2312" w:cs="仿宋_GB2312"/>
          <w:sz w:val="30"/>
          <w:szCs w:val="30"/>
          <w:lang w:val="en-US" w:eastAsia="zh-CN"/>
        </w:rPr>
        <w:t>1</w:t>
      </w:r>
      <w:r>
        <w:rPr>
          <w:rStyle w:val="5"/>
          <w:rFonts w:hint="eastAsia" w:ascii="仿宋_GB2312" w:hAnsi="仿宋_GB2312" w:eastAsia="仿宋_GB2312" w:cs="仿宋_GB2312"/>
          <w:sz w:val="30"/>
          <w:szCs w:val="30"/>
          <w:lang w:eastAsia="zh-CN"/>
        </w:rPr>
        <w:t>）</w:t>
      </w:r>
      <w:r>
        <w:rPr>
          <w:rStyle w:val="5"/>
          <w:rFonts w:hint="eastAsia" w:ascii="仿宋_GB2312" w:hAnsi="仿宋_GB2312" w:eastAsia="仿宋_GB2312" w:cs="仿宋_GB2312"/>
          <w:sz w:val="30"/>
          <w:szCs w:val="30"/>
        </w:rPr>
        <w:t>高离子电导率固态电解质材料设计与低成本制备技术：攻克硫化物/氧化物电解质界面阻抗大、空气稳定性差等瓶颈；</w:t>
      </w:r>
    </w:p>
    <w:p w14:paraId="2D6E869B">
      <w:pPr>
        <w:pStyle w:val="6"/>
        <w:keepNext w:val="0"/>
        <w:keepLines w:val="0"/>
        <w:pageBreakBefore w:val="0"/>
        <w:widowControl w:val="0"/>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rPr>
      </w:pPr>
      <w:r>
        <w:rPr>
          <w:rStyle w:val="5"/>
          <w:rFonts w:hint="eastAsia" w:ascii="仿宋_GB2312" w:hAnsi="仿宋_GB2312" w:eastAsia="仿宋_GB2312" w:cs="仿宋_GB2312"/>
          <w:sz w:val="30"/>
          <w:szCs w:val="30"/>
          <w:lang w:eastAsia="zh-CN"/>
        </w:rPr>
        <w:t>（</w:t>
      </w:r>
      <w:r>
        <w:rPr>
          <w:rStyle w:val="5"/>
          <w:rFonts w:hint="eastAsia" w:ascii="仿宋_GB2312" w:hAnsi="仿宋_GB2312" w:eastAsia="仿宋_GB2312" w:cs="仿宋_GB2312"/>
          <w:sz w:val="30"/>
          <w:szCs w:val="30"/>
          <w:lang w:val="en-US" w:eastAsia="zh-CN"/>
        </w:rPr>
        <w:t>2</w:t>
      </w:r>
      <w:r>
        <w:rPr>
          <w:rStyle w:val="5"/>
          <w:rFonts w:hint="eastAsia" w:ascii="仿宋_GB2312" w:hAnsi="仿宋_GB2312" w:eastAsia="仿宋_GB2312" w:cs="仿宋_GB2312"/>
          <w:sz w:val="30"/>
          <w:szCs w:val="30"/>
          <w:lang w:eastAsia="zh-CN"/>
        </w:rPr>
        <w:t>）</w:t>
      </w:r>
      <w:r>
        <w:rPr>
          <w:rStyle w:val="5"/>
          <w:rFonts w:hint="eastAsia" w:ascii="仿宋_GB2312" w:hAnsi="仿宋_GB2312" w:eastAsia="仿宋_GB2312" w:cs="仿宋_GB2312"/>
          <w:sz w:val="30"/>
          <w:szCs w:val="30"/>
        </w:rPr>
        <w:t>锂金属负极改性及固－固界面兼容性技术：抑制锂枝晶生长，提升循环稳定性；</w:t>
      </w:r>
    </w:p>
    <w:p w14:paraId="29D8A596">
      <w:pPr>
        <w:pStyle w:val="6"/>
        <w:keepNext w:val="0"/>
        <w:keepLines w:val="0"/>
        <w:pageBreakBefore w:val="0"/>
        <w:widowControl w:val="0"/>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rPr>
      </w:pPr>
      <w:r>
        <w:rPr>
          <w:rStyle w:val="5"/>
          <w:rFonts w:hint="eastAsia" w:ascii="仿宋_GB2312" w:hAnsi="仿宋_GB2312" w:eastAsia="仿宋_GB2312" w:cs="仿宋_GB2312"/>
          <w:sz w:val="30"/>
          <w:szCs w:val="30"/>
          <w:lang w:eastAsia="zh-CN"/>
        </w:rPr>
        <w:t>（</w:t>
      </w:r>
      <w:r>
        <w:rPr>
          <w:rStyle w:val="5"/>
          <w:rFonts w:hint="eastAsia" w:ascii="仿宋_GB2312" w:hAnsi="仿宋_GB2312" w:eastAsia="仿宋_GB2312" w:cs="仿宋_GB2312"/>
          <w:sz w:val="30"/>
          <w:szCs w:val="30"/>
          <w:lang w:val="en-US" w:eastAsia="zh-CN"/>
        </w:rPr>
        <w:t>3</w:t>
      </w:r>
      <w:r>
        <w:rPr>
          <w:rStyle w:val="5"/>
          <w:rFonts w:hint="eastAsia" w:ascii="仿宋_GB2312" w:hAnsi="仿宋_GB2312" w:eastAsia="仿宋_GB2312" w:cs="仿宋_GB2312"/>
          <w:sz w:val="30"/>
          <w:szCs w:val="30"/>
          <w:lang w:eastAsia="zh-CN"/>
        </w:rPr>
        <w:t>）</w:t>
      </w:r>
      <w:r>
        <w:rPr>
          <w:rStyle w:val="5"/>
          <w:rFonts w:hint="eastAsia" w:ascii="仿宋_GB2312" w:hAnsi="仿宋_GB2312" w:eastAsia="仿宋_GB2312" w:cs="仿宋_GB2312"/>
          <w:sz w:val="30"/>
          <w:szCs w:val="30"/>
        </w:rPr>
        <w:t>100Ah级固态电池单体工程化制备工艺：解决大容量电芯一致性、极片加工与装配难题；</w:t>
      </w:r>
    </w:p>
    <w:p w14:paraId="2326975E">
      <w:pPr>
        <w:pStyle w:val="6"/>
        <w:keepNext w:val="0"/>
        <w:keepLines w:val="0"/>
        <w:pageBreakBefore w:val="0"/>
        <w:widowControl w:val="0"/>
        <w:numPr>
          <w:ilvl w:val="0"/>
          <w:numId w:val="1"/>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rPr>
      </w:pPr>
      <w:r>
        <w:rPr>
          <w:rStyle w:val="5"/>
          <w:rFonts w:hint="eastAsia" w:ascii="仿宋_GB2312" w:hAnsi="仿宋_GB2312" w:eastAsia="仿宋_GB2312" w:cs="仿宋_GB2312"/>
          <w:sz w:val="30"/>
          <w:szCs w:val="30"/>
        </w:rPr>
        <w:t>多类型电池混合储能系统集成与热安全管理技术：实现固态－锂电－液流系统的协同控制与安全防护。</w:t>
      </w:r>
    </w:p>
    <w:p w14:paraId="010E247B">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3.考核指标</w:t>
      </w:r>
    </w:p>
    <w:p w14:paraId="21DE475B">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（1）技术参数：</w:t>
      </w:r>
    </w:p>
    <w:p w14:paraId="70F4D868">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rPr>
        <w:t>突破固态电解质设计、100Ah级电芯制备及混合储能系统集成等关键技术，建成1MW/2MWh固态电池储能示范系统，形成具有自主知识产权的高性能储能电池技术体系，实现能量密度≥300Wh/kg、循环寿命≥1000次、系统不发生热失控。</w:t>
      </w:r>
    </w:p>
    <w:p w14:paraId="4F9D3029">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（2）成果交付形式：</w:t>
      </w:r>
    </w:p>
    <w:p w14:paraId="7E6AD122">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default" w:ascii="仿宋_GB2312" w:hAnsi="仿宋_GB2312" w:eastAsia="仿宋_GB2312" w:cs="仿宋_GB2312"/>
          <w:sz w:val="30"/>
          <w:szCs w:val="30"/>
        </w:rPr>
        <w:t>项目验收时提供由国家认可的第三方检测机构出具的正式产品检验报告，报告数据须全面达标。</w:t>
      </w:r>
    </w:p>
    <w:p w14:paraId="6D2C4688">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（3）经济社会效益：</w:t>
      </w:r>
    </w:p>
    <w:p w14:paraId="49CA391C">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rPr>
      </w:pPr>
      <w:r>
        <w:rPr>
          <w:rStyle w:val="5"/>
          <w:rFonts w:hint="eastAsia" w:ascii="仿宋_GB2312" w:hAnsi="仿宋_GB2312" w:eastAsia="仿宋_GB2312" w:cs="仿宋_GB2312"/>
          <w:sz w:val="30"/>
          <w:szCs w:val="30"/>
        </w:rPr>
        <w:t>项目实施期内实现新增销售收入</w:t>
      </w:r>
      <w:r>
        <w:rPr>
          <w:rStyle w:val="5"/>
          <w:rFonts w:hint="eastAsia" w:ascii="仿宋_GB2312" w:hAnsi="仿宋_GB2312" w:eastAsia="仿宋_GB2312" w:cs="仿宋_GB2312"/>
          <w:sz w:val="30"/>
          <w:szCs w:val="30"/>
          <w:lang w:val="en-US"/>
        </w:rPr>
        <w:t>3</w:t>
      </w:r>
      <w:r>
        <w:rPr>
          <w:rStyle w:val="5"/>
          <w:rFonts w:hint="eastAsia" w:ascii="仿宋_GB2312" w:hAnsi="仿宋_GB2312" w:eastAsia="仿宋_GB2312" w:cs="仿宋_GB2312"/>
          <w:sz w:val="30"/>
          <w:szCs w:val="30"/>
        </w:rPr>
        <w:t>000万元、利税</w:t>
      </w:r>
      <w:r>
        <w:rPr>
          <w:rStyle w:val="5"/>
          <w:rFonts w:hint="eastAsia" w:ascii="仿宋_GB2312" w:hAnsi="仿宋_GB2312" w:eastAsia="仿宋_GB2312" w:cs="仿宋_GB2312"/>
          <w:sz w:val="30"/>
          <w:szCs w:val="30"/>
          <w:lang w:val="en-US"/>
        </w:rPr>
        <w:t>4</w:t>
      </w:r>
      <w:r>
        <w:rPr>
          <w:rStyle w:val="5"/>
          <w:rFonts w:hint="eastAsia" w:ascii="仿宋_GB2312" w:hAnsi="仿宋_GB2312" w:eastAsia="仿宋_GB2312" w:cs="仿宋_GB2312"/>
          <w:sz w:val="30"/>
          <w:szCs w:val="30"/>
        </w:rPr>
        <w:t>00万元，推动储能系统安全运维成本降低，提升全生命周期经济性，带动上下游材料、电芯、系统集成产业协同发展。</w:t>
      </w:r>
    </w:p>
    <w:p w14:paraId="14DCCC62">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rPr>
        <w:t>破解传统锂电池热失控风险，提升电网调频能力和黑启动保障能力，增强高比例可再生能源消纳水平，保障能源供应安全。支撑能源结构绿色低碳转型，减少火电机组依赖。</w:t>
      </w:r>
    </w:p>
    <w:p w14:paraId="277E08F6">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4.需求单位及联系人</w:t>
      </w:r>
    </w:p>
    <w:p w14:paraId="4DAC16A3">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山东海冠新能源科技有限公司</w:t>
      </w:r>
    </w:p>
    <w:p w14:paraId="048FB71E">
      <w:pPr>
        <w:pStyle w:val="6"/>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孙玮  16653135791</w:t>
      </w:r>
    </w:p>
    <w:p w14:paraId="07B70042">
      <w:pPr>
        <w:pStyle w:val="2"/>
        <w:keepNext w:val="0"/>
        <w:keepLines w:val="0"/>
        <w:pageBreakBefore w:val="0"/>
        <w:widowControl w:val="0"/>
        <w:kinsoku w:val="0"/>
        <w:wordWrap w:val="0"/>
        <w:overflowPunct/>
        <w:topLinePunct w:val="0"/>
        <w:autoSpaceDE w:val="0"/>
        <w:autoSpaceDN w:val="0"/>
        <w:bidi w:val="0"/>
        <w:adjustRightInd w:val="0"/>
        <w:snapToGrid w:val="0"/>
        <w:spacing w:line="520" w:lineRule="exact"/>
        <w:jc w:val="both"/>
        <w:textAlignment w:val="baseline"/>
        <w:rPr>
          <w:rFonts w:hint="eastAsia" w:ascii="仿宋_GB2312" w:hAnsi="仿宋_GB2312" w:eastAsia="仿宋_GB2312" w:cs="仿宋_GB2312"/>
          <w:sz w:val="30"/>
          <w:szCs w:val="30"/>
          <w:lang w:val="en-US" w:eastAsia="zh-CN"/>
        </w:rPr>
      </w:pPr>
    </w:p>
    <w:p w14:paraId="14D16A7A">
      <w:pPr>
        <w:keepNext w:val="0"/>
        <w:keepLines w:val="0"/>
        <w:pageBreakBefore w:val="0"/>
        <w:widowControl w:val="0"/>
        <w:kinsoku w:val="0"/>
        <w:wordWrap w:val="0"/>
        <w:overflowPunct/>
        <w:topLinePunct w:val="0"/>
        <w:autoSpaceDE w:val="0"/>
        <w:autoSpaceDN w:val="0"/>
        <w:bidi w:val="0"/>
        <w:adjustRightInd w:val="0"/>
        <w:snapToGrid w:val="0"/>
        <w:spacing w:line="520" w:lineRule="exact"/>
        <w:ind w:right="0"/>
        <w:jc w:val="both"/>
        <w:textAlignment w:val="baseline"/>
        <w:rPr>
          <w:rFonts w:hint="eastAsia" w:ascii="楷体_GB2312" w:hAnsi="楷体_GB2312" w:eastAsia="楷体_GB2312" w:cs="楷体_GB2312"/>
          <w:sz w:val="30"/>
          <w:szCs w:val="30"/>
          <w:lang w:val="en-US" w:eastAsia="zh-CN"/>
        </w:rPr>
      </w:pPr>
      <w:r>
        <w:rPr>
          <w:rFonts w:hint="eastAsia" w:ascii="楷体_GB2312" w:hAnsi="楷体_GB2312" w:eastAsia="楷体_GB2312" w:cs="楷体_GB2312"/>
          <w:sz w:val="30"/>
          <w:szCs w:val="30"/>
          <w:lang w:val="en-US" w:eastAsia="zh-CN"/>
        </w:rPr>
        <w:t>（二）无钴富锂层状氧化物正极材料关键技术研发</w:t>
      </w:r>
    </w:p>
    <w:p w14:paraId="75418289">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1.需求描述</w:t>
      </w:r>
    </w:p>
    <w:p w14:paraId="4F22E76F">
      <w:pPr>
        <w:pStyle w:val="2"/>
        <w:keepNext w:val="0"/>
        <w:keepLines w:val="0"/>
        <w:pageBreakBefore w:val="0"/>
        <w:widowControl w:val="0"/>
        <w:kinsoku w:val="0"/>
        <w:wordWrap w:val="0"/>
        <w:overflowPunct/>
        <w:topLinePunct w:val="0"/>
        <w:autoSpaceDE w:val="0"/>
        <w:autoSpaceDN w:val="0"/>
        <w:bidi w:val="0"/>
        <w:adjustRightInd w:val="0"/>
        <w:snapToGrid w:val="0"/>
        <w:spacing w:line="520" w:lineRule="exact"/>
        <w:ind w:firstLine="600" w:firstLineChars="200"/>
        <w:jc w:val="both"/>
        <w:textAlignment w:val="baseline"/>
        <w:rPr>
          <w:rFonts w:hint="eastAsia" w:ascii="仿宋_GB2312" w:hAnsi="仿宋_GB2312" w:eastAsia="仿宋_GB2312" w:cs="仿宋_GB2312"/>
          <w:snapToGrid w:val="0"/>
          <w:color w:val="000000"/>
          <w:kern w:val="0"/>
          <w:sz w:val="30"/>
          <w:szCs w:val="30"/>
          <w:lang w:val="en-US" w:eastAsia="zh-CN" w:bidi="ar-SA"/>
        </w:rPr>
      </w:pPr>
      <w:r>
        <w:rPr>
          <w:rFonts w:hint="eastAsia" w:ascii="仿宋_GB2312" w:hAnsi="仿宋_GB2312" w:eastAsia="仿宋_GB2312" w:cs="仿宋_GB2312"/>
          <w:snapToGrid w:val="0"/>
          <w:color w:val="000000"/>
          <w:kern w:val="0"/>
          <w:sz w:val="30"/>
          <w:szCs w:val="30"/>
          <w:lang w:val="en-US" w:eastAsia="zh-CN" w:bidi="ar-SA"/>
        </w:rPr>
        <w:t>通过掺杂、包覆、结构调控方法来减少富锂锰基高电压下氧的氧化还原的不可逆性，从而提高富锂锰基材料结构的稳定性。</w:t>
      </w:r>
    </w:p>
    <w:p w14:paraId="520AD02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2.需解决的共性技术问题</w:t>
      </w:r>
    </w:p>
    <w:p w14:paraId="02CC411B">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（1）通过特定的阴、阳离子掺杂于富锂锰基材料之中，增强过渡金属与晶格氧之间的作用力，尽量减少不可逆的氧气产生，增强其结构稳定性，来减少其电压的衰减，提高其循环稳定性；</w:t>
      </w:r>
    </w:p>
    <w:p w14:paraId="690D121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（2）对材料表面进行包覆和结构调控，减少其界面副反应以及抑制不可逆相变，减少不可逆容量的损失，提高其倍率性能</w:t>
      </w:r>
    </w:p>
    <w:p w14:paraId="43A8BBB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3.考核指标</w:t>
      </w:r>
    </w:p>
    <w:p w14:paraId="454C2A1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（1）技术参数：</w:t>
      </w:r>
    </w:p>
    <w:p w14:paraId="2ED3D12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①工作电压：预期目标≥4.8V；</w:t>
      </w:r>
    </w:p>
    <w:p w14:paraId="21D438A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②克容量：目标≥300mAh/g。</w:t>
      </w:r>
    </w:p>
    <w:p w14:paraId="5B9D0B91">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（2）成果交付形式：</w:t>
      </w:r>
    </w:p>
    <w:p w14:paraId="6F6A48C0">
      <w:pPr>
        <w:keepNext w:val="0"/>
        <w:keepLines w:val="0"/>
        <w:pageBreakBefore w:val="0"/>
        <w:widowControl w:val="0"/>
        <w:kinsoku w:val="0"/>
        <w:wordWrap w:val="0"/>
        <w:overflowPunct/>
        <w:topLinePunct w:val="0"/>
        <w:autoSpaceDE w:val="0"/>
        <w:autoSpaceDN w:val="0"/>
        <w:bidi w:val="0"/>
        <w:adjustRightInd w:val="0"/>
        <w:snapToGrid w:val="0"/>
        <w:spacing w:line="520" w:lineRule="exact"/>
        <w:ind w:right="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发明专利（申请）2 件，新工艺 1 项；其他交示件：第三方检测报告。</w:t>
      </w:r>
    </w:p>
    <w:p w14:paraId="0A30E74D">
      <w:pPr>
        <w:keepNext w:val="0"/>
        <w:keepLines w:val="0"/>
        <w:pageBreakBefore w:val="0"/>
        <w:widowControl w:val="0"/>
        <w:numPr>
          <w:ilvl w:val="0"/>
          <w:numId w:val="2"/>
        </w:numPr>
        <w:kinsoku w:val="0"/>
        <w:wordWrap w:val="0"/>
        <w:overflowPunct/>
        <w:topLinePunct w:val="0"/>
        <w:autoSpaceDE w:val="0"/>
        <w:autoSpaceDN w:val="0"/>
        <w:bidi w:val="0"/>
        <w:adjustRightInd w:val="0"/>
        <w:snapToGrid w:val="0"/>
        <w:spacing w:line="520" w:lineRule="exact"/>
        <w:ind w:left="0" w:leftChars="0" w:right="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经济社会效益：</w:t>
      </w:r>
    </w:p>
    <w:p w14:paraId="635A8E67">
      <w:pPr>
        <w:keepNext w:val="0"/>
        <w:keepLines w:val="0"/>
        <w:pageBreakBefore w:val="0"/>
        <w:widowControl w:val="0"/>
        <w:kinsoku w:val="0"/>
        <w:wordWrap w:val="0"/>
        <w:overflowPunct/>
        <w:topLinePunct w:val="0"/>
        <w:autoSpaceDE w:val="0"/>
        <w:autoSpaceDN w:val="0"/>
        <w:bidi w:val="0"/>
        <w:adjustRightInd w:val="0"/>
        <w:snapToGrid w:val="0"/>
        <w:spacing w:line="520" w:lineRule="exact"/>
        <w:ind w:right="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带动材料加工、电池生产、设备制造等上下游产业协同发展，打造国内富锂锰基正极材料企业标杆，有力推动新能源装备产业提质增效。打破国外高电压正极材料技术垄断，提升产业链供应链自主可控能力，为新能源、储能及低空经济提供关键材料支撑；材料能量密度较传统体系提升30%以上，支撑动力电池续航1000公里以上，显著增强新能源汽车与储能产业核心竞争力。产品实现无钴化，彻底摆脱钴资源依赖，有效降低生产能耗与碳排放，助力产业转型升级与绿色低碳高质量发展。</w:t>
      </w:r>
    </w:p>
    <w:p w14:paraId="2FBB2A38">
      <w:pPr>
        <w:keepNext w:val="0"/>
        <w:keepLines w:val="0"/>
        <w:pageBreakBefore w:val="0"/>
        <w:widowControl w:val="0"/>
        <w:kinsoku w:val="0"/>
        <w:wordWrap w:val="0"/>
        <w:overflowPunct/>
        <w:topLinePunct w:val="0"/>
        <w:autoSpaceDE w:val="0"/>
        <w:autoSpaceDN w:val="0"/>
        <w:bidi w:val="0"/>
        <w:adjustRightInd w:val="0"/>
        <w:snapToGrid w:val="0"/>
        <w:spacing w:line="520" w:lineRule="exact"/>
        <w:ind w:right="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4.需求单位及联系人</w:t>
      </w:r>
    </w:p>
    <w:p w14:paraId="1A649AF9">
      <w:pPr>
        <w:keepNext w:val="0"/>
        <w:keepLines w:val="0"/>
        <w:pageBreakBefore w:val="0"/>
        <w:widowControl w:val="0"/>
        <w:kinsoku w:val="0"/>
        <w:wordWrap w:val="0"/>
        <w:overflowPunct/>
        <w:topLinePunct w:val="0"/>
        <w:autoSpaceDE w:val="0"/>
        <w:autoSpaceDN w:val="0"/>
        <w:bidi w:val="0"/>
        <w:adjustRightInd w:val="0"/>
        <w:snapToGrid w:val="0"/>
        <w:spacing w:line="520" w:lineRule="exact"/>
        <w:ind w:right="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山东创鲁先进电池科技有限公司</w:t>
      </w:r>
    </w:p>
    <w:p w14:paraId="745FD09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桑丽华  15863786895</w:t>
      </w:r>
    </w:p>
    <w:p w14:paraId="1EB06711">
      <w:pPr>
        <w:pStyle w:val="2"/>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jc w:val="both"/>
        <w:textAlignment w:val="baseline"/>
        <w:rPr>
          <w:rFonts w:hint="eastAsia" w:ascii="仿宋_GB2312" w:hAnsi="仿宋_GB2312" w:eastAsia="仿宋_GB2312" w:cs="仿宋_GB2312"/>
          <w:sz w:val="30"/>
          <w:szCs w:val="30"/>
          <w:lang w:val="en-US" w:eastAsia="zh-CN"/>
        </w:rPr>
      </w:pPr>
    </w:p>
    <w:p w14:paraId="78A1AA1A">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jc w:val="both"/>
        <w:textAlignment w:val="baseline"/>
        <w:rPr>
          <w:rFonts w:hint="eastAsia" w:ascii="仿宋_GB2312" w:hAnsi="仿宋_GB2312" w:eastAsia="仿宋_GB2312" w:cs="仿宋_GB2312"/>
          <w:sz w:val="30"/>
          <w:szCs w:val="30"/>
          <w:lang w:val="en-US" w:eastAsia="zh-CN"/>
        </w:rPr>
      </w:pPr>
      <w:r>
        <w:rPr>
          <w:rFonts w:hint="eastAsia" w:ascii="楷体_GB2312" w:hAnsi="楷体_GB2312" w:eastAsia="楷体_GB2312" w:cs="楷体_GB2312"/>
          <w:spacing w:val="5"/>
          <w:sz w:val="30"/>
          <w:szCs w:val="30"/>
        </w:rPr>
        <w:t>（</w:t>
      </w:r>
      <w:r>
        <w:rPr>
          <w:rFonts w:hint="eastAsia" w:ascii="楷体_GB2312" w:hAnsi="楷体_GB2312" w:eastAsia="楷体_GB2312" w:cs="楷体_GB2312"/>
          <w:spacing w:val="5"/>
          <w:sz w:val="30"/>
          <w:szCs w:val="30"/>
          <w:lang w:val="en-US" w:eastAsia="zh-CN"/>
        </w:rPr>
        <w:t>三</w:t>
      </w:r>
      <w:r>
        <w:rPr>
          <w:rFonts w:hint="eastAsia" w:ascii="楷体_GB2312" w:hAnsi="楷体_GB2312" w:eastAsia="楷体_GB2312" w:cs="楷体_GB2312"/>
          <w:spacing w:val="5"/>
          <w:sz w:val="30"/>
          <w:szCs w:val="30"/>
        </w:rPr>
        <w:t>）</w:t>
      </w:r>
      <w:r>
        <w:rPr>
          <w:rFonts w:hint="eastAsia" w:ascii="仿宋_GB2312" w:hAnsi="仿宋_GB2312" w:eastAsia="仿宋_GB2312" w:cs="仿宋_GB2312"/>
          <w:sz w:val="30"/>
          <w:szCs w:val="30"/>
          <w:lang w:val="en-US" w:eastAsia="zh-CN"/>
        </w:rPr>
        <w:t>高效光伏光热（PVT）热电联产组件关键技术研发及耦合浅层地源热泵应用</w:t>
      </w:r>
    </w:p>
    <w:p w14:paraId="502CBF2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1.需求描述</w:t>
      </w:r>
    </w:p>
    <w:p w14:paraId="3964BF8A">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以山东山科蓝芯公司 PVT 产品为基础，围绕电热需求与区域环境适应性，攻关 PVT组件效率提升、与浅层地源热泵深度耦合、长期运行可靠性三大方向的关键核心技术。</w:t>
      </w:r>
    </w:p>
    <w:p w14:paraId="0D18173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2.需解决的共性技术问题</w:t>
      </w:r>
    </w:p>
    <w:p w14:paraId="1067DCE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（1） 区域环境适应性 PVT 组件设计：针对济南及华北地区气候特征，突破 PVT 组件光学性能与热收集效率的协同优化难题，解决传统组件“重发电轻供热”导致的综合能效偏低问题，并实现产品的工业化量产。 </w:t>
      </w:r>
    </w:p>
    <w:p w14:paraId="5332C782">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（2）PVT-地源热泵耦合系统集成：攻克多源协同控制、土壤热平衡调控等技术瓶颈，解决单独地源热泵系统长期运行导致的土壤温度衰减问题，实现电热需求动态匹配。 </w:t>
      </w:r>
    </w:p>
    <w:p w14:paraId="1ED1D7E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（3）高可靠性封装与流道工艺：解决流道流体均流性、高温工况密封耐久性等制造工艺难题，确保 25 年寿命周期内无泄漏风险。</w:t>
      </w:r>
    </w:p>
    <w:p w14:paraId="492C0D4C">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3.考核指标</w:t>
      </w:r>
    </w:p>
    <w:p w14:paraId="6D980A52">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（1）技术参数：</w:t>
      </w:r>
    </w:p>
    <w:p w14:paraId="7FFF7AF3">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①PVT 综合效率≥80%（基于山科蓝芯现有产品优化系统集成）；</w:t>
      </w:r>
    </w:p>
    <w:p w14:paraId="7D09A981">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②PVT 单位面积峰值功率850–900 W/m²；</w:t>
      </w:r>
    </w:p>
    <w:p w14:paraId="6CE1846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③绝缘电阻≥150MΩ；</w:t>
      </w:r>
    </w:p>
    <w:p w14:paraId="390431B9">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④漏电电流≤30μA/m²；</w:t>
      </w:r>
    </w:p>
    <w:p w14:paraId="222F04FA">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⑤PVT- 地源热泵系统能效比（COP）≥6.5（较常规系统提升30%以上）；</w:t>
      </w:r>
    </w:p>
    <w:p w14:paraId="7122B88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⑥地埋管换热器减量率≥30%（降低系统初投资）。</w:t>
      </w:r>
    </w:p>
    <w:p w14:paraId="0021ECCA">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（2）成果交付形式：</w:t>
      </w:r>
    </w:p>
    <w:p w14:paraId="5D5053E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①完成高效率 PVT 组件关键技术攻关，形成技术报告 1 份。 </w:t>
      </w:r>
    </w:p>
    <w:p w14:paraId="0CCF98C2">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②申报实用新型专利不低于 2 项。 </w:t>
      </w:r>
    </w:p>
    <w:p w14:paraId="20887C9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③达到国内先进水平以上的科技评价报告 1 份。</w:t>
      </w:r>
    </w:p>
    <w:p w14:paraId="29916E0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（3）经济社会效益：</w:t>
      </w:r>
    </w:p>
    <w:p w14:paraId="0084DE3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PVT 规模化生产及应用，带动上下游产业链协同发展。PVT-地源热泵系统较常规方案可降低地埋孔钻孔量30%以上，节约系统初投资15%—20%，综合运行费用降低25%—30%，显著提升用户端经济性。可为建筑供暖、农业温室等高耗能场景提供清洁热电一体化解决方案，助力零碳工厂、零碳园区建设及产业低碳转型。按单套系统年节煤 8 吨、减排 CO₂ 20 吨测算，规模化推广后每年可减少煤炭消耗数万吨，对实现“双碳”目标、改善大气环境质量具有重要支撑作用。</w:t>
      </w:r>
    </w:p>
    <w:p w14:paraId="56F1304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4.需求单位及联系人</w:t>
      </w:r>
    </w:p>
    <w:p w14:paraId="2ABF457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山东山科蓝芯太阳能科技有限公司</w:t>
      </w:r>
    </w:p>
    <w:p w14:paraId="0B310C09">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赵之彬  13335126006</w:t>
      </w:r>
    </w:p>
    <w:p w14:paraId="08DC3B81">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楷体_GB2312" w:hAnsi="楷体_GB2312" w:eastAsia="楷体_GB2312" w:cs="楷体_GB2312"/>
          <w:sz w:val="30"/>
          <w:szCs w:val="30"/>
          <w:lang w:val="en-US" w:eastAsia="zh-CN"/>
        </w:rPr>
      </w:pPr>
    </w:p>
    <w:p w14:paraId="7E99D05F">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jc w:val="both"/>
        <w:textAlignment w:val="baseline"/>
        <w:rPr>
          <w:rFonts w:hint="eastAsia" w:ascii="楷体_GB2312" w:hAnsi="楷体_GB2312" w:eastAsia="楷体_GB2312" w:cs="楷体_GB2312"/>
          <w:sz w:val="30"/>
          <w:szCs w:val="30"/>
          <w:lang w:val="en-US" w:eastAsia="zh-CN"/>
        </w:rPr>
      </w:pPr>
      <w:r>
        <w:rPr>
          <w:rFonts w:hint="eastAsia" w:ascii="楷体_GB2312" w:hAnsi="楷体_GB2312" w:eastAsia="楷体_GB2312" w:cs="楷体_GB2312"/>
          <w:sz w:val="30"/>
          <w:szCs w:val="30"/>
          <w:lang w:val="en-US" w:eastAsia="zh-CN"/>
        </w:rPr>
        <w:t>（四）绿电直连全液冷调峰调压充电桩关键技术与应用</w:t>
      </w:r>
    </w:p>
    <w:p w14:paraId="7B567FA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1.需求描述</w:t>
      </w:r>
    </w:p>
    <w:p w14:paraId="443821DE">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旨在推动新型电力系统建设，既能降低绿电直连模式新能源消纳损耗，又能支撑兆瓦级超充规模化发展，还能实现调峰调压和调压，保障新型电力系统安全稳定运行，可显著增强济南高端超充装备技术的主导权与产业链韧性。</w:t>
      </w:r>
    </w:p>
    <w:p w14:paraId="1A93E33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2.需解决的共性技术问题</w:t>
      </w:r>
    </w:p>
    <w:p w14:paraId="1C91208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sz w:val="30"/>
          <w:szCs w:val="30"/>
          <w:lang w:val="en-US" w:eastAsia="zh-CN"/>
        </w:rPr>
      </w:pPr>
      <w:r>
        <w:rPr>
          <w:rFonts w:hint="eastAsia" w:ascii="仿宋_GB2312" w:hAnsi="仿宋_GB2312" w:eastAsia="仿宋_GB2312" w:cs="仿宋_GB2312"/>
          <w:sz w:val="30"/>
          <w:szCs w:val="30"/>
          <w:lang w:val="en-US" w:eastAsia="zh-CN"/>
        </w:rPr>
        <w:t>聚焦绿电直连、全液冷、调峰调压三大核心应用需求目标，针对“强硬件、弱协同”的行业共性短板，拟创新完成绿电直连系统拓扑及配置规划、兆瓦级全液冷散热管理、电网支撑调峰调压快速响应三项核心技术。</w:t>
      </w:r>
    </w:p>
    <w:p w14:paraId="55E7F9F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3.考核指标</w:t>
      </w:r>
    </w:p>
    <w:p w14:paraId="3714309F">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（1）技术参数：</w:t>
      </w:r>
    </w:p>
    <w:p w14:paraId="6365EEA2">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①AC/DC充电最高功率转换效率提升至96.5%以上；</w:t>
      </w:r>
    </w:p>
    <w:p w14:paraId="41A729A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②光储能量利用转换效率本项目光储接入拟采用多段直流母线耦合柔性接入技术，光伏输出到储能电池DC/DC功率转换效率可达97%以上，储能电池到车辆充电最高功率转换效率将达到可达97%以上，储能电池自损耗1%以内，光储能量综合损耗可达7%以内；</w:t>
      </w:r>
    </w:p>
    <w:p w14:paraId="056A2A1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③电网调峰最快响应时间≤1s；电网电压调节最快响应时间≤1s。</w:t>
      </w:r>
    </w:p>
    <w:p w14:paraId="32BCB4A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（2）成果交付形式：</w:t>
      </w:r>
    </w:p>
    <w:p w14:paraId="634905CB">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提供技术服务与功率转换模块</w:t>
      </w:r>
    </w:p>
    <w:p w14:paraId="54530100">
      <w:pPr>
        <w:keepNext w:val="0"/>
        <w:keepLines w:val="0"/>
        <w:pageBreakBefore w:val="0"/>
        <w:widowControl w:val="0"/>
        <w:numPr>
          <w:ilvl w:val="0"/>
          <w:numId w:val="3"/>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经济社会效益：</w:t>
      </w:r>
    </w:p>
    <w:p w14:paraId="610A1D0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sz w:val="30"/>
          <w:szCs w:val="30"/>
          <w:lang w:val="en-US" w:eastAsia="zh-CN"/>
        </w:rPr>
      </w:pPr>
      <w:r>
        <w:rPr>
          <w:rFonts w:hint="eastAsia" w:ascii="仿宋_GB2312" w:hAnsi="仿宋_GB2312" w:eastAsia="仿宋_GB2312" w:cs="仿宋_GB2312"/>
          <w:sz w:val="30"/>
          <w:szCs w:val="30"/>
          <w:lang w:val="en-US" w:eastAsia="zh-CN"/>
        </w:rPr>
        <w:t>针对绿电直连高效利用、兆瓦级全液冷散热、电网调频调峰快速响应核心应用需求目标，形成自主可控的国产化高端装备，在实现新能源高效利用、新型电力系统安全稳定运行支撑方面，填补国内外专业领域技术空白。项目成果可快速落地并实现规模化量产，一方面可通过高端产品产业化获得良好经济收益，另一方面还会通过提升能源就近消纳效率，明显提升系统应用经济性。</w:t>
      </w:r>
    </w:p>
    <w:p w14:paraId="25F517E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4.需求单位及联系人</w:t>
      </w:r>
    </w:p>
    <w:p w14:paraId="2DB3FE89">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山东积成智通新能源有限公司</w:t>
      </w:r>
    </w:p>
    <w:p w14:paraId="573C2503">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李伟硕  13953106051</w:t>
      </w:r>
    </w:p>
    <w:p w14:paraId="26E68107">
      <w:pPr>
        <w:pStyle w:val="2"/>
        <w:keepNext w:val="0"/>
        <w:keepLines w:val="0"/>
        <w:pageBreakBefore w:val="0"/>
        <w:widowControl w:val="0"/>
        <w:kinsoku w:val="0"/>
        <w:wordWrap w:val="0"/>
        <w:overflowPunct/>
        <w:topLinePunct w:val="0"/>
        <w:autoSpaceDE w:val="0"/>
        <w:autoSpaceDN w:val="0"/>
        <w:bidi w:val="0"/>
        <w:adjustRightInd w:val="0"/>
        <w:snapToGrid w:val="0"/>
        <w:spacing w:line="520" w:lineRule="exact"/>
        <w:ind w:firstLine="600" w:firstLineChars="200"/>
        <w:jc w:val="both"/>
        <w:textAlignment w:val="baseline"/>
        <w:rPr>
          <w:rFonts w:hint="eastAsia"/>
          <w:sz w:val="30"/>
          <w:szCs w:val="30"/>
          <w:lang w:val="en-US" w:eastAsia="zh-CN"/>
        </w:rPr>
      </w:pPr>
    </w:p>
    <w:p w14:paraId="1FDAC988">
      <w:pPr>
        <w:keepNext w:val="0"/>
        <w:keepLines w:val="0"/>
        <w:pageBreakBefore w:val="0"/>
        <w:widowControl w:val="0"/>
        <w:kinsoku w:val="0"/>
        <w:wordWrap w:val="0"/>
        <w:overflowPunct/>
        <w:topLinePunct w:val="0"/>
        <w:autoSpaceDE w:val="0"/>
        <w:autoSpaceDN w:val="0"/>
        <w:bidi w:val="0"/>
        <w:adjustRightInd w:val="0"/>
        <w:snapToGrid w:val="0"/>
        <w:spacing w:line="520" w:lineRule="exact"/>
        <w:ind w:right="0"/>
        <w:jc w:val="both"/>
        <w:textAlignment w:val="baseline"/>
        <w:rPr>
          <w:rFonts w:hint="eastAsia" w:ascii="楷体_GB2312" w:hAnsi="楷体_GB2312" w:eastAsia="楷体_GB2312" w:cs="楷体_GB2312"/>
          <w:sz w:val="30"/>
          <w:szCs w:val="30"/>
          <w:lang w:val="en-US" w:eastAsia="zh-CN"/>
        </w:rPr>
      </w:pPr>
      <w:r>
        <w:rPr>
          <w:rFonts w:hint="eastAsia" w:ascii="楷体_GB2312" w:hAnsi="楷体_GB2312" w:eastAsia="楷体_GB2312" w:cs="楷体_GB2312"/>
          <w:sz w:val="30"/>
          <w:szCs w:val="30"/>
          <w:lang w:val="en-US" w:eastAsia="zh-CN"/>
        </w:rPr>
        <w:t>（五）新型电力系统分布式光储混网智能装备关键技术</w:t>
      </w:r>
    </w:p>
    <w:p w14:paraId="17735E6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1.需求描述</w:t>
      </w:r>
    </w:p>
    <w:p w14:paraId="385B924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聚焦分布式场景痛点，在拓扑结构优化、智能调度、故障自愈及电池安全管理上形成差异化突破，弥补现有产品转换效率低、暂态支撑不足等短板。</w:t>
      </w:r>
    </w:p>
    <w:p w14:paraId="7257438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2.需解决的共性技术问题</w:t>
      </w:r>
    </w:p>
    <w:p w14:paraId="275DB562">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（1）T型NPC 拓扑三相逆变桥+主动平衡桥DC/AC逆变拓扑技术，优化电能转换结构，降低开关损耗，提升逆变效率与电压输出稳定性；</w:t>
      </w:r>
    </w:p>
    <w:p w14:paraId="32A7778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（2）弱电网下，构网型控制技术升级，采用虚拟同步机（VSG）自适应控制技术精准模拟同步发电机特性，提升与发电机、PCS 等组成的微电网系统在弱电网场景下的稳定运行能力；</w:t>
      </w:r>
    </w:p>
    <w:p w14:paraId="6A25DA80">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（3）主从式多机并联协同控制技术，实现多机同步时序精准控制、并机环流主动抑制，解决功率分配不均问题；</w:t>
      </w:r>
    </w:p>
    <w:p w14:paraId="62EE2791">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（4）第三代半导体SiC MOSFET三电平双向buck-boost 充放电拓扑技术，利用宽禁带半导体特性，降低充放电电流纹波，优化充放电速度，提升能量转换效率；</w:t>
      </w:r>
    </w:p>
    <w:p w14:paraId="094BBEDB">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（5）光储荷网一体化 EMS 智能调度控制技术，基于负荷预测、光伏出力预测实现能源最优分配，提升多能源协同利用效率；</w:t>
      </w:r>
    </w:p>
    <w:p w14:paraId="791C7F2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（6）快速高低电压穿越与负序电流支撑技术，优化故障穿越算法，强化电网故障时的支撑能力，提升新型电力系统韧性；</w:t>
      </w:r>
    </w:p>
    <w:p w14:paraId="3F338831">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（7）电池充放电安全与热管理技术，实现电池状态实时监测、精准均衡控制与智能热管理，保障快速充放电下的电池安全与使用寿命；</w:t>
      </w:r>
    </w:p>
    <w:p w14:paraId="0774C01E">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（8）并离网无缝切换控制技术，优化切换逻辑与时序，提升切换速度与稳定性，避免电压电流冲击。</w:t>
      </w:r>
    </w:p>
    <w:p w14:paraId="2ADED10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3.考核指标</w:t>
      </w:r>
    </w:p>
    <w:p w14:paraId="5DCCAD23">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（1）技术参数：</w:t>
      </w:r>
    </w:p>
    <w:p w14:paraId="1B97629C">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①并离网切换速度≤4ms；</w:t>
      </w:r>
    </w:p>
    <w:p w14:paraId="087ACFE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②不平衡输出能力≥150%；</w:t>
      </w:r>
    </w:p>
    <w:p w14:paraId="002BD59F">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③电池最大充放电电流≥120A；</w:t>
      </w:r>
    </w:p>
    <w:p w14:paraId="5F08674C">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④多机并联最大数量≥10 台；</w:t>
      </w:r>
    </w:p>
    <w:p w14:paraId="659C0F8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⑤能量转换效率≥97.5%。</w:t>
      </w:r>
    </w:p>
    <w:p w14:paraId="660482B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（2）成果交付形式：</w:t>
      </w:r>
    </w:p>
    <w:p w14:paraId="1ACF853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提交快速高低电压穿越与负序电流支撑技术方案1份，相关指标测试报告1份，发表论文2篇。</w:t>
      </w:r>
    </w:p>
    <w:p w14:paraId="2626219F">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（3）经济社会效益：</w:t>
      </w:r>
    </w:p>
    <w:p w14:paraId="0707F4C5">
      <w:pPr>
        <w:pStyle w:val="2"/>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突破分布式光储混网智能装备安全高效运行核心技术，填补行业技术短板，推动新能源装备产业向高端化、智能化升级，助力完善产业链条、增强产业链自主可控能力，解决当前光储混网装备转换效率低、适配性差、安全管控不足等行业重大问题。不但可以通过削峰填谷起到降低配电网容量的作用，还可以弥补分布式出力随机性对电网安全和经济运行的负面影响。进一步，通过多点分布式储能形成规模化汇聚效应，积极有效地面向电网应用，参与电网调峰、调频和调压等辅助服务，将有效提高电网安全水平和运行效率。经济效益上，可降低企业用能成本与电网运维成本，市场前景广阔，预计年新增销售收入2000万元。社会效益上，提升分布式供电可靠性，保障新型电力系统安全转型，带动高端技术人才就业，推动能源结构优化。生态效益上，提高光伏消纳率，减少化石能源消耗，降低碳排放与污染物排放，助力“双碳”目标实现，推动经济社会绿色低碳可持续发展。</w:t>
      </w:r>
    </w:p>
    <w:p w14:paraId="2524E68B">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right="0" w:rightChars="0" w:firstLine="600" w:firstLineChars="200"/>
        <w:jc w:val="both"/>
        <w:textAlignment w:val="baseline"/>
        <w:rPr>
          <w:rStyle w:val="5"/>
          <w:rFonts w:hint="eastAsia" w:ascii="仿宋_GB2312" w:hAnsi="仿宋_GB2312" w:eastAsia="仿宋_GB2312" w:cs="仿宋_GB2312"/>
          <w:sz w:val="30"/>
          <w:szCs w:val="30"/>
          <w:lang w:val="en-US" w:eastAsia="zh-CN"/>
        </w:rPr>
      </w:pPr>
      <w:r>
        <w:rPr>
          <w:rStyle w:val="5"/>
          <w:rFonts w:hint="eastAsia" w:ascii="仿宋_GB2312" w:hAnsi="仿宋_GB2312" w:eastAsia="仿宋_GB2312" w:cs="仿宋_GB2312"/>
          <w:sz w:val="30"/>
          <w:szCs w:val="30"/>
          <w:lang w:val="en-US" w:eastAsia="zh-CN"/>
        </w:rPr>
        <w:t>4.需求单位及联系人</w:t>
      </w:r>
    </w:p>
    <w:p w14:paraId="7F8F7EDE">
      <w:pPr>
        <w:pStyle w:val="2"/>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firstLine="600" w:firstLineChars="200"/>
        <w:jc w:val="both"/>
        <w:textAlignment w:val="baseline"/>
        <w:rPr>
          <w:rStyle w:val="5"/>
          <w:rFonts w:hint="eastAsia" w:ascii="仿宋_GB2312" w:hAnsi="仿宋_GB2312" w:eastAsia="仿宋_GB2312" w:cs="仿宋_GB2312"/>
          <w:snapToGrid w:val="0"/>
          <w:color w:val="000000"/>
          <w:sz w:val="30"/>
          <w:szCs w:val="30"/>
        </w:rPr>
      </w:pPr>
      <w:r>
        <w:rPr>
          <w:rStyle w:val="5"/>
          <w:rFonts w:hint="eastAsia" w:ascii="仿宋_GB2312" w:hAnsi="仿宋_GB2312" w:eastAsia="仿宋_GB2312" w:cs="仿宋_GB2312"/>
          <w:snapToGrid w:val="0"/>
          <w:color w:val="000000"/>
          <w:sz w:val="30"/>
          <w:szCs w:val="30"/>
        </w:rPr>
        <w:t>山东奥太电气有限公司</w:t>
      </w:r>
    </w:p>
    <w:p w14:paraId="666141B0">
      <w:pPr>
        <w:pStyle w:val="2"/>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leftChars="0" w:firstLine="600" w:firstLineChars="200"/>
        <w:jc w:val="both"/>
        <w:textAlignment w:val="baseline"/>
        <w:rPr>
          <w:rStyle w:val="5"/>
          <w:rFonts w:hint="eastAsia" w:ascii="仿宋_GB2312" w:hAnsi="仿宋_GB2312" w:eastAsia="仿宋_GB2312" w:cs="仿宋_GB2312"/>
          <w:snapToGrid w:val="0"/>
          <w:color w:val="000000"/>
          <w:sz w:val="30"/>
          <w:szCs w:val="30"/>
          <w:lang w:val="en-US" w:eastAsia="zh-CN"/>
        </w:rPr>
      </w:pPr>
      <w:r>
        <w:rPr>
          <w:rStyle w:val="5"/>
          <w:rFonts w:hint="eastAsia" w:ascii="仿宋_GB2312" w:hAnsi="仿宋_GB2312" w:eastAsia="仿宋_GB2312" w:cs="仿宋_GB2312"/>
          <w:snapToGrid w:val="0"/>
          <w:color w:val="000000"/>
          <w:sz w:val="30"/>
          <w:szCs w:val="30"/>
          <w:lang w:val="en-US" w:eastAsia="zh-CN"/>
        </w:rPr>
        <w:t xml:space="preserve">张杰  </w:t>
      </w:r>
      <w:r>
        <w:rPr>
          <w:rStyle w:val="5"/>
          <w:rFonts w:hint="eastAsia" w:ascii="仿宋_GB2312" w:hAnsi="仿宋_GB2312" w:eastAsia="仿宋_GB2312" w:cs="仿宋_GB2312"/>
          <w:snapToGrid w:val="0"/>
          <w:color w:val="000000"/>
          <w:sz w:val="30"/>
          <w:szCs w:val="30"/>
        </w:rPr>
        <w:t>18615627981</w:t>
      </w:r>
    </w:p>
    <w:p w14:paraId="184BABA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p>
    <w:p w14:paraId="42788B3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jc w:val="both"/>
        <w:textAlignment w:val="baseline"/>
        <w:rPr>
          <w:rFonts w:hint="eastAsia" w:ascii="楷体_GB2312" w:hAnsi="楷体_GB2312" w:eastAsia="楷体_GB2312" w:cs="楷体_GB2312"/>
          <w:sz w:val="30"/>
          <w:szCs w:val="30"/>
          <w:lang w:val="en-US" w:eastAsia="zh-CN"/>
        </w:rPr>
      </w:pPr>
      <w:r>
        <w:rPr>
          <w:rFonts w:hint="eastAsia" w:ascii="楷体_GB2312" w:hAnsi="楷体_GB2312" w:eastAsia="楷体_GB2312" w:cs="楷体_GB2312"/>
          <w:sz w:val="30"/>
          <w:szCs w:val="30"/>
          <w:lang w:val="en-US" w:eastAsia="zh-CN"/>
        </w:rPr>
        <w:t>（六）分布式制氢系统与电网负荷和间歇性电源发电耦合</w:t>
      </w:r>
    </w:p>
    <w:p w14:paraId="39FE5E15">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1.需求描述</w:t>
      </w:r>
    </w:p>
    <w:p w14:paraId="19AF2793">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目前，公司电氢－用/储能源转化电控系统缺失，导致制氢模块无法实现对电网及功率波动的快速自洽调节，制约绿氢储能产业化落地。</w:t>
      </w:r>
    </w:p>
    <w:p w14:paraId="1D4DC58F">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2.需解决的共性技术问题</w:t>
      </w:r>
    </w:p>
    <w:p w14:paraId="4331FFAD">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（1）多时间尺度协同调度机理：研究绿电制氢－储能就地互补消纳、广域协调平衡机制，构建无外界指令的自组织协同调度模式，通过节点间局域信息交换，自主实现系统能量平衡。</w:t>
      </w:r>
    </w:p>
    <w:p w14:paraId="4201A107">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（2）动态规划容量优化：针对风光间歇性、制氢－储氢－储能特性，采用动态规划方法分阶段优化容量配置，形成最优决策序列，提升系统运行效率。</w:t>
      </w:r>
    </w:p>
    <w:p w14:paraId="1330E11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（3）双向变流控制技术：研发三电平模块化双向AC/DC变流器，实现载波同步、均流与能量双向流动，支撑电－氢系统与电网高效交互。</w:t>
      </w:r>
    </w:p>
    <w:p w14:paraId="6E3F0899">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3.考核指标</w:t>
      </w:r>
    </w:p>
    <w:p w14:paraId="7ADBB353">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（1）技术参数：</w:t>
      </w:r>
    </w:p>
    <w:p w14:paraId="2AE5CB02">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①调度响应时间目标≤80ms；</w:t>
      </w:r>
    </w:p>
    <w:p w14:paraId="3528AE96">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②变流器转换效率目标≥96%；</w:t>
      </w:r>
    </w:p>
    <w:p w14:paraId="3E24B84A">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③功率调节范围10%—130%。</w:t>
      </w:r>
    </w:p>
    <w:p w14:paraId="0D0F3A1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（2）成果交付形式：</w:t>
      </w:r>
    </w:p>
    <w:p w14:paraId="5E55DE6C">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按期完成技术攻关，系统控制程序取得软件著作权，研制的电源产品出具第三方检测报告，并成功应用于耦合制氢示范。</w:t>
      </w:r>
    </w:p>
    <w:p w14:paraId="76480808">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（3）经济社会效益：</w:t>
      </w:r>
    </w:p>
    <w:p w14:paraId="774DF081">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突破后，将形成完整的电-氢-用/储能源转化电控系统技术方案，研发出国产化高端电控产品，解决绿氢储能与电网适配难、功率波动响应慢等行业痛点，推动我市新能源装备产业转型升级。</w:t>
      </w:r>
    </w:p>
    <w:p w14:paraId="4592F534">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经济效益上，可带动PEM电解槽、氢能装备等关联产业发展，形成新的经济增长点，预计投产后实现显著产值增长，降低绿氢制备成本。社会效益上，提升我市新能源消纳能力，保障电网稳定运行，助力氢能交通产业普及，增强产业链自主可控能力。生态效益上，推动可再生能源高效利用，减少化石能源消耗，降低碳排放，助力“双碳”目标实现，构建绿色低碳能源体系</w:t>
      </w:r>
    </w:p>
    <w:p w14:paraId="616414BE">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4.需求单位及联系人</w:t>
      </w:r>
    </w:p>
    <w:p w14:paraId="3652B0D3">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 xml:space="preserve">山东赛克赛斯氢能源有限公司 </w:t>
      </w:r>
    </w:p>
    <w:p w14:paraId="569C449A">
      <w:pPr>
        <w:keepNext w:val="0"/>
        <w:keepLines w:val="0"/>
        <w:pageBreakBefore w:val="0"/>
        <w:widowControl w:val="0"/>
        <w:numPr>
          <w:ilvl w:val="0"/>
          <w:numId w:val="0"/>
        </w:numPr>
        <w:kinsoku w:val="0"/>
        <w:wordWrap w:val="0"/>
        <w:overflowPunct/>
        <w:topLinePunct w:val="0"/>
        <w:autoSpaceDE w:val="0"/>
        <w:autoSpaceDN w:val="0"/>
        <w:bidi w:val="0"/>
        <w:adjustRightInd w:val="0"/>
        <w:snapToGrid w:val="0"/>
        <w:spacing w:line="520" w:lineRule="exact"/>
        <w:ind w:right="0" w:rightChars="0" w:firstLine="600" w:firstLineChars="200"/>
        <w:jc w:val="both"/>
        <w:textAlignment w:val="baseline"/>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许蕾  18769733001</w:t>
      </w:r>
    </w:p>
    <w:sectPr>
      <w:footerReference r:id="rId5" w:type="default"/>
      <w:pgSz w:w="11906" w:h="16838"/>
      <w:pgMar w:top="1134" w:right="1417" w:bottom="1134"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7572D9E-9183-468A-A5E3-2027310037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E0000" w:usb2="00000000" w:usb3="00000000" w:csb0="00040000" w:csb1="00000000"/>
    <w:embedRegular r:id="rId2" w:fontKey="{49858483-53F0-4F20-A5FF-045646A489F6}"/>
  </w:font>
  <w:font w:name="楷体_GB2312">
    <w:panose1 w:val="02010609030101010101"/>
    <w:charset w:val="86"/>
    <w:family w:val="auto"/>
    <w:pitch w:val="default"/>
    <w:sig w:usb0="00000001" w:usb1="080E0000" w:usb2="00000000" w:usb3="00000000" w:csb0="00040000" w:csb1="00000000"/>
    <w:embedRegular r:id="rId3" w:fontKey="{61FF3E75-70B6-4903-9856-3C06E6723E08}"/>
  </w:font>
  <w:font w:name="仿宋_GB2312">
    <w:panose1 w:val="02010609030101010101"/>
    <w:charset w:val="86"/>
    <w:family w:val="auto"/>
    <w:pitch w:val="default"/>
    <w:sig w:usb0="00000001" w:usb1="080E0000" w:usb2="00000000" w:usb3="00000000" w:csb0="00040000" w:csb1="00000000"/>
    <w:embedRegular r:id="rId4" w:fontKey="{8E57358A-CFAD-4C20-9A9E-4C2351BDC9EC}"/>
  </w:font>
  <w:font w:name="FangSong_GB2312">
    <w:altName w:val="仿宋_GB2312"/>
    <w:panose1 w:val="02010609030101010101"/>
    <w:charset w:val="86"/>
    <w:family w:val="auto"/>
    <w:pitch w:val="default"/>
    <w:sig w:usb0="00000000" w:usb1="00000000" w:usb2="00000000" w:usb3="00000000" w:csb0="00040000" w:csb1="00000000"/>
    <w:embedRegular r:id="rId5" w:fontKey="{BA983A54-CF63-46AC-A9C5-812731C1060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784A2">
    <w:pPr>
      <w:spacing w:line="239" w:lineRule="auto"/>
      <w:jc w:val="right"/>
      <w:rPr>
        <w:rFonts w:ascii="FangSong_GB2312" w:hAnsi="FangSong_GB2312" w:eastAsia="FangSong_GB2312" w:cs="FangSong_GB2312"/>
        <w:sz w:val="28"/>
        <w:szCs w:val="28"/>
      </w:rPr>
    </w:pPr>
    <w:r>
      <w:rPr>
        <w:rFonts w:ascii="FangSong_GB2312" w:hAnsi="FangSong_GB2312" w:eastAsia="FangSong_GB2312" w:cs="FangSong_GB2312"/>
        <w:spacing w:val="-8"/>
        <w:sz w:val="28"/>
        <w:szCs w:val="28"/>
      </w:rPr>
      <w:t>—I—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97A887"/>
    <w:multiLevelType w:val="singleLevel"/>
    <w:tmpl w:val="AB97A887"/>
    <w:lvl w:ilvl="0" w:tentative="0">
      <w:start w:val="2"/>
      <w:numFmt w:val="decimal"/>
      <w:suff w:val="nothing"/>
      <w:lvlText w:val="（%1）"/>
      <w:lvlJc w:val="left"/>
    </w:lvl>
  </w:abstractNum>
  <w:abstractNum w:abstractNumId="1">
    <w:nsid w:val="B49A28B0"/>
    <w:multiLevelType w:val="singleLevel"/>
    <w:tmpl w:val="B49A28B0"/>
    <w:lvl w:ilvl="0" w:tentative="0">
      <w:start w:val="4"/>
      <w:numFmt w:val="decimal"/>
      <w:suff w:val="nothing"/>
      <w:lvlText w:val="（%1）"/>
      <w:lvlJc w:val="left"/>
    </w:lvl>
  </w:abstractNum>
  <w:abstractNum w:abstractNumId="2">
    <w:nsid w:val="5725EAEA"/>
    <w:multiLevelType w:val="singleLevel"/>
    <w:tmpl w:val="5725EAEA"/>
    <w:lvl w:ilvl="0" w:tentative="0">
      <w:start w:val="3"/>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E113BE"/>
    <w:rsid w:val="003C468C"/>
    <w:rsid w:val="068F6C54"/>
    <w:rsid w:val="0CE57E5A"/>
    <w:rsid w:val="19E113BE"/>
    <w:rsid w:val="1C2B35C6"/>
    <w:rsid w:val="1E496A11"/>
    <w:rsid w:val="22A737D7"/>
    <w:rsid w:val="30DD5759"/>
    <w:rsid w:val="33E12879"/>
    <w:rsid w:val="3C593777"/>
    <w:rsid w:val="3CF07FA5"/>
    <w:rsid w:val="449B002D"/>
    <w:rsid w:val="484F4B7D"/>
    <w:rsid w:val="48AA2A9B"/>
    <w:rsid w:val="54106B8C"/>
    <w:rsid w:val="55603288"/>
    <w:rsid w:val="613C0293"/>
    <w:rsid w:val="6A170BA9"/>
    <w:rsid w:val="6B826FEF"/>
    <w:rsid w:val="6BED4FBC"/>
    <w:rsid w:val="6CB4718E"/>
    <w:rsid w:val="726B48DF"/>
    <w:rsid w:val="74186C63"/>
    <w:rsid w:val="7F3932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character" w:customStyle="1" w:styleId="5">
    <w:name w:val="NormalCharacter"/>
    <w:qFormat/>
    <w:uiPriority w:val="0"/>
    <w:rPr>
      <w:rFonts w:ascii="Calibri" w:hAnsi="Calibri"/>
      <w:kern w:val="2"/>
      <w:sz w:val="21"/>
      <w:szCs w:val="24"/>
      <w:lang w:val="en-US" w:eastAsia="zh-CN" w:bidi="ar-SA"/>
    </w:rPr>
  </w:style>
  <w:style w:type="paragraph" w:styleId="6">
    <w:name w:val="List Paragraph"/>
    <w:basedOn w:val="1"/>
    <w:qFormat/>
    <w:uiPriority w:val="0"/>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379e41b2-3dd2-421d-ad73-3017e4af60c8</errorID>
      <errorWord>;</errorWord>
      <group>L1_Format</group>
      <groupName>格式问题</groupName>
      <ability>L2_HalfPunc</ability>
      <abilityName>全半角检查</abilityName>
      <candidateList>
        <item>；</item>
      </candidateList>
      <explain>文本全半角错误。</explain>
      <paraID>49B7CEEA</paraID>
      <start>12</start>
      <end>13</end>
      <status>modified</status>
      <modifiedWord>；</modifiedWord>
      <trackRevisions>false</trackRevisions>
    </reviewItem>
    <reviewItem>
      <errorID>96bba819-801c-44d7-a842-1417ceb44075</errorID>
      <errorWord>;</errorWord>
      <group>L1_Format</group>
      <groupName>格式问题</groupName>
      <ability>L2_HalfPunc</ability>
      <abilityName>全半角检查</abilityName>
      <candidateList>
        <item>；</item>
      </candidateList>
      <explain>文本全半角错误。</explain>
      <paraID>6395DC46</paraID>
      <start>18</start>
      <end>19</end>
      <status>modified</status>
      <modifiedWord>；</modifiedWord>
      <trackRevisions>false</trackRevisions>
    </reviewItem>
    <reviewItem>
      <errorID>c0da9c7f-f607-46d4-99b9-9486ab5314e3</errorID>
      <errorWord>控</errorWord>
      <group>L1_Word</group>
      <groupName>字词问题</groupName>
      <ability>L2_Typo</ability>
      <abilityName>字词错误</abilityName>
      <candidateList>
        <item>控等</item>
      </candidateList>
      <explain/>
      <paraID>5E4B304C</paraID>
      <start>11</start>
      <end>12</end>
      <status>ignored</status>
      <modifiedWord/>
      <trackRevisions>false</trackRevisions>
    </reviewItem>
    <reviewItem>
      <errorID>ca104629-fc1d-4c16-b3e6-cc2787b00247</errorID>
      <errorWord>具</errorWord>
      <group>L1_Word</group>
      <groupName>字词问题</groupName>
      <ability>L2_Typo</ability>
      <abilityName>字词错误</abilityName>
      <candidateList>
        <item>具第</item>
      </candidateList>
      <explain/>
      <paraID>5E55DE6C</paraID>
      <start>31</start>
      <end>33</end>
      <status>modified</status>
      <modifiedWord>具第</modifiedWord>
      <trackRevisions>false</trackRevisions>
    </reviewItem>
  </reviewItems>
  <config/>
</contractReview>
</file>

<file path=customXml/itemProps1.xml><?xml version="1.0" encoding="utf-8"?>
<ds:datastoreItem xmlns:ds="http://schemas.openxmlformats.org/officeDocument/2006/customXml" ds:itemID="{15ceb821-7a08-4373-a37c-2c2b727e039e}">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4455</Words>
  <Characters>4735</Characters>
  <Lines>0</Lines>
  <Paragraphs>0</Paragraphs>
  <TotalTime>0</TotalTime>
  <ScaleCrop>false</ScaleCrop>
  <LinksUpToDate>false</LinksUpToDate>
  <CharactersWithSpaces>4791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2026-03-19T01:50:00Z</dcterms:created>
  <dc:creator>张</dc:creator>
  <cp:lastModifiedBy>张</cp:lastModifiedBy>
  <cp:lastPrinted>2026-03-20T01:42:00Z</cp:lastPrinted>
  <dcterms:modified xsi:type="dcterms:W3CDTF">2026-03-24T01:30:05Z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A5926441BB4C4844B2C3F76E8707ABA5_11</vt:lpwstr>
  </property>
  <property fmtid="{D5CDD505-2E9C-101B-9397-08002B2CF9AE}" pid="4" name="KSOTemplateDocerSaveRecord">
    <vt:lpwstr>eyJoZGlkIjoiMzgwYzAxZWQxZDEzOWRlYzI2YmJhNDRlNjJlYjljOTciLCJ1c2VySWQiOiIyOTE0NzI2ODcifQ==</vt:lpwstr>
  </property>
</Properties>
</file>