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76F9BD">
      <w:pPr>
        <w:overflowPunct w:val="0"/>
        <w:spacing w:line="600" w:lineRule="exact"/>
        <w:rPr>
          <w:rFonts w:hint="eastAsia" w:ascii="黑体" w:hAnsi="黑体" w:eastAsia="黑体" w:cs="Times New Roman"/>
          <w:spacing w:val="-6"/>
          <w:sz w:val="32"/>
          <w:szCs w:val="32"/>
        </w:rPr>
      </w:pPr>
      <w:r>
        <w:rPr>
          <w:rFonts w:hint="eastAsia" w:ascii="黑体" w:hAnsi="黑体" w:eastAsia="黑体" w:cs="Times New Roman"/>
          <w:spacing w:val="-6"/>
          <w:sz w:val="32"/>
          <w:szCs w:val="32"/>
        </w:rPr>
        <w:t>附件</w:t>
      </w:r>
    </w:p>
    <w:p w14:paraId="7A8C6211">
      <w:pPr>
        <w:overflowPunct w:val="0"/>
        <w:spacing w:line="600" w:lineRule="exact"/>
        <w:rPr>
          <w:rFonts w:ascii="黑体" w:hAnsi="黑体" w:eastAsia="黑体" w:cs="Times New Roman"/>
          <w:spacing w:val="-6"/>
          <w:sz w:val="32"/>
          <w:szCs w:val="32"/>
        </w:rPr>
      </w:pPr>
    </w:p>
    <w:p w14:paraId="3A09E144">
      <w:pPr>
        <w:overflowPunct w:val="0"/>
        <w:spacing w:line="600" w:lineRule="exact"/>
        <w:jc w:val="center"/>
        <w:rPr>
          <w:rFonts w:ascii="Times New Roman" w:hAnsi="Times New Roman" w:eastAsia="方正小标宋_GBK" w:cs="Times New Roman"/>
          <w:spacing w:val="-6"/>
          <w:sz w:val="44"/>
          <w:szCs w:val="44"/>
        </w:rPr>
      </w:pPr>
      <w:r>
        <w:rPr>
          <w:rFonts w:ascii="Times New Roman" w:hAnsi="Times New Roman" w:eastAsia="方正小标宋_GBK" w:cs="Times New Roman"/>
          <w:spacing w:val="-6"/>
          <w:sz w:val="44"/>
          <w:szCs w:val="44"/>
        </w:rPr>
        <w:t>2026年江苏省旅游产业发展基金项目</w:t>
      </w:r>
    </w:p>
    <w:p w14:paraId="6938A4C3">
      <w:pPr>
        <w:overflowPunct w:val="0"/>
        <w:spacing w:line="600" w:lineRule="exact"/>
        <w:jc w:val="center"/>
        <w:rPr>
          <w:rFonts w:ascii="Times New Roman" w:hAnsi="Times New Roman" w:eastAsia="方正小标宋_GBK" w:cs="Times New Roman"/>
          <w:sz w:val="44"/>
          <w:szCs w:val="44"/>
        </w:rPr>
      </w:pPr>
      <w:r>
        <w:rPr>
          <w:rFonts w:ascii="Times New Roman" w:hAnsi="Times New Roman" w:eastAsia="方正小标宋_GBK" w:cs="Times New Roman"/>
          <w:spacing w:val="-6"/>
          <w:sz w:val="44"/>
          <w:szCs w:val="44"/>
        </w:rPr>
        <w:t>动态申报指南</w:t>
      </w:r>
    </w:p>
    <w:p w14:paraId="6DCAAFDE">
      <w:pPr>
        <w:overflowPunct w:val="0"/>
        <w:spacing w:line="600" w:lineRule="exact"/>
        <w:rPr>
          <w:rFonts w:ascii="Times New Roman" w:hAnsi="Times New Roman" w:eastAsia="仿宋" w:cs="Times New Roman"/>
          <w:sz w:val="32"/>
          <w:szCs w:val="32"/>
        </w:rPr>
      </w:pPr>
    </w:p>
    <w:p w14:paraId="32B521D9">
      <w:pPr>
        <w:overflowPunct w:val="0"/>
        <w:spacing w:line="600" w:lineRule="exact"/>
        <w:ind w:firstLine="640" w:firstLineChars="200"/>
        <w:rPr>
          <w:rFonts w:ascii="Times New Roman" w:hAnsi="Times New Roman" w:eastAsia="方正仿宋_GBK" w:cs="Times New Roman"/>
          <w:sz w:val="32"/>
          <w:szCs w:val="32"/>
        </w:rPr>
      </w:pPr>
      <w:r>
        <w:rPr>
          <w:rFonts w:ascii="Times New Roman" w:hAnsi="Times New Roman" w:eastAsia="仿宋" w:cs="Times New Roman"/>
          <w:sz w:val="32"/>
          <w:szCs w:val="32"/>
        </w:rPr>
        <w:t>江苏省旅游产业发展基金（以下简</w:t>
      </w:r>
      <w:r>
        <w:rPr>
          <w:rFonts w:ascii="仿宋" w:hAnsi="仿宋" w:eastAsia="仿宋" w:cs="Times New Roman"/>
          <w:sz w:val="32"/>
          <w:szCs w:val="32"/>
        </w:rPr>
        <w:t>称“基金”）是</w:t>
      </w:r>
      <w:r>
        <w:rPr>
          <w:rFonts w:ascii="Times New Roman" w:hAnsi="Times New Roman" w:eastAsia="仿宋" w:cs="Times New Roman"/>
          <w:sz w:val="32"/>
          <w:szCs w:val="32"/>
        </w:rPr>
        <w:t>经江苏省人民政府同意，由江苏省信用再担保集团有限公司（以下简</w:t>
      </w:r>
      <w:r>
        <w:rPr>
          <w:rFonts w:ascii="仿宋" w:hAnsi="仿宋" w:eastAsia="仿宋" w:cs="Times New Roman"/>
          <w:sz w:val="32"/>
          <w:szCs w:val="32"/>
        </w:rPr>
        <w:t>称“省</w:t>
      </w:r>
      <w:r>
        <w:rPr>
          <w:rFonts w:ascii="Times New Roman" w:hAnsi="Times New Roman" w:eastAsia="仿宋" w:cs="Times New Roman"/>
          <w:sz w:val="32"/>
          <w:szCs w:val="32"/>
        </w:rPr>
        <w:t>信保集</w:t>
      </w:r>
      <w:r>
        <w:rPr>
          <w:rFonts w:ascii="仿宋" w:hAnsi="仿宋" w:eastAsia="仿宋" w:cs="Times New Roman"/>
          <w:sz w:val="32"/>
          <w:szCs w:val="32"/>
        </w:rPr>
        <w:t>团”）</w:t>
      </w:r>
      <w:r>
        <w:rPr>
          <w:rFonts w:ascii="Times New Roman" w:hAnsi="Times New Roman" w:eastAsia="仿宋" w:cs="Times New Roman"/>
          <w:sz w:val="32"/>
          <w:szCs w:val="32"/>
        </w:rPr>
        <w:t>设立并管理，通过委贷形式发放优惠利率贷款的政策性资金。旨在</w:t>
      </w:r>
      <w:r>
        <w:rPr>
          <w:rFonts w:ascii="Times New Roman" w:hAnsi="Times New Roman" w:eastAsia="方正仿宋_GBK" w:cs="Times New Roman"/>
          <w:sz w:val="32"/>
          <w:szCs w:val="32"/>
        </w:rPr>
        <w:t>改善文旅行业融资环境，支持文旅企业和文旅项目融资发展，</w:t>
      </w:r>
      <w:r>
        <w:rPr>
          <w:rFonts w:ascii="Times New Roman" w:hAnsi="Times New Roman" w:eastAsia="仿宋" w:cs="Times New Roman"/>
          <w:sz w:val="32"/>
          <w:szCs w:val="32"/>
        </w:rPr>
        <w:t>推动全省文旅产业高质量发展。</w:t>
      </w:r>
    </w:p>
    <w:p w14:paraId="440646D0">
      <w:pPr>
        <w:overflowPunct w:val="0"/>
        <w:spacing w:line="60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一、申报范围</w:t>
      </w:r>
    </w:p>
    <w:p w14:paraId="046480BD">
      <w:pPr>
        <w:overflowPunct w:val="0"/>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申报主体范围涵盖旅游度假区、旅游景区、特色小镇（旅游风情类）、乡村旅游重点村镇、文旅消费集聚区、文化产业园区（基地），以及从事数字赋能、智慧旅游、房车露营、邮轮游艇、低空旅游、红色旅游、工业旅游、生态旅游、主题民宿、研学实践、旅游演艺、康养度假、体育休闲、文化娱乐、文创设计等业态产品开发经营的企业。</w:t>
      </w:r>
    </w:p>
    <w:p w14:paraId="244812B9">
      <w:pPr>
        <w:overflowPunct w:val="0"/>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基金申报所指</w:t>
      </w:r>
      <w:r>
        <w:rPr>
          <w:rFonts w:ascii="仿宋" w:hAnsi="仿宋" w:eastAsia="仿宋" w:cs="Times New Roman"/>
          <w:sz w:val="32"/>
          <w:szCs w:val="32"/>
        </w:rPr>
        <w:t>的“项目”，既包</w:t>
      </w:r>
      <w:r>
        <w:rPr>
          <w:rFonts w:ascii="Times New Roman" w:hAnsi="Times New Roman" w:eastAsia="仿宋" w:cs="Times New Roman"/>
          <w:sz w:val="32"/>
          <w:szCs w:val="32"/>
        </w:rPr>
        <w:t>括新建、改扩建等文旅项目中的固定资产投资，也包括已建成文旅项目在运营过程中的流动资金周转，以及为提升运营质量、增强文化旅游品牌影响力、促进消费增长而实施的经营性项目投入（如夜游服务等）。</w:t>
      </w:r>
    </w:p>
    <w:p w14:paraId="3F46BE4C">
      <w:pPr>
        <w:overflowPunct w:val="0"/>
        <w:spacing w:line="600" w:lineRule="exact"/>
        <w:ind w:firstLine="640" w:firstLineChars="200"/>
        <w:rPr>
          <w:rFonts w:ascii="仿宋" w:hAnsi="仿宋" w:eastAsia="仿宋" w:cs="Times New Roman"/>
          <w:sz w:val="32"/>
          <w:szCs w:val="32"/>
        </w:rPr>
      </w:pPr>
      <w:r>
        <w:rPr>
          <w:rFonts w:ascii="Times New Roman" w:hAnsi="Times New Roman" w:eastAsia="仿宋" w:cs="Times New Roman"/>
          <w:sz w:val="32"/>
          <w:szCs w:val="32"/>
        </w:rPr>
        <w:t>基金主要投向省内具有地方特色和市场前景、能带动相关产业发展、经济和社会效益显著的上述文旅项目及具有市场竞争力的文旅企业，严格遵循</w:t>
      </w:r>
      <w:r>
        <w:rPr>
          <w:rFonts w:ascii="仿宋" w:hAnsi="仿宋" w:eastAsia="仿宋" w:cs="Times New Roman"/>
          <w:sz w:val="32"/>
          <w:szCs w:val="32"/>
        </w:rPr>
        <w:t>“政府引导、市场运作、规范管理、持续支持”原则。</w:t>
      </w:r>
    </w:p>
    <w:p w14:paraId="75C8B46C">
      <w:pPr>
        <w:overflowPunct w:val="0"/>
        <w:spacing w:line="60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二、申报条件</w:t>
      </w:r>
    </w:p>
    <w:p w14:paraId="081760AE">
      <w:pPr>
        <w:overflowPunct w:val="0"/>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1</w:t>
      </w:r>
      <w:r>
        <w:rPr>
          <w:rFonts w:hint="eastAsia" w:ascii="Times New Roman" w:hAnsi="Times New Roman" w:eastAsia="仿宋" w:cs="Times New Roman"/>
          <w:sz w:val="32"/>
          <w:szCs w:val="32"/>
        </w:rPr>
        <w:t>．</w:t>
      </w:r>
      <w:r>
        <w:rPr>
          <w:rFonts w:ascii="Times New Roman" w:hAnsi="Times New Roman" w:eastAsia="仿宋" w:cs="Times New Roman"/>
          <w:sz w:val="32"/>
          <w:szCs w:val="32"/>
        </w:rPr>
        <w:t>开展文旅产业项目、场景、业态、产品投资建设或运营管理的主体。原则上企业已开展实际经营，有稳定的主营业务收入，市场前景良好，发展潜力大；尚无稳定收入的新设企业建设的项目需为地方重点文旅项目。</w:t>
      </w:r>
    </w:p>
    <w:p w14:paraId="67B3B029">
      <w:pPr>
        <w:overflowPunct w:val="0"/>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2</w:t>
      </w:r>
      <w:r>
        <w:rPr>
          <w:rFonts w:hint="eastAsia" w:ascii="Times New Roman" w:hAnsi="Times New Roman" w:eastAsia="仿宋" w:cs="Times New Roman"/>
          <w:sz w:val="32"/>
          <w:szCs w:val="32"/>
        </w:rPr>
        <w:t>．</w:t>
      </w:r>
      <w:r>
        <w:rPr>
          <w:rFonts w:ascii="Times New Roman" w:hAnsi="Times New Roman" w:eastAsia="仿宋" w:cs="Times New Roman"/>
          <w:sz w:val="32"/>
          <w:szCs w:val="32"/>
        </w:rPr>
        <w:t>企业在股权、法务、财务等方面不存在重大问题。</w:t>
      </w:r>
    </w:p>
    <w:p w14:paraId="68000C1C">
      <w:pPr>
        <w:overflowPunct w:val="0"/>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3</w:t>
      </w:r>
      <w:r>
        <w:rPr>
          <w:rFonts w:hint="eastAsia" w:ascii="Times New Roman" w:hAnsi="Times New Roman" w:eastAsia="仿宋" w:cs="Times New Roman"/>
          <w:sz w:val="32"/>
          <w:szCs w:val="32"/>
        </w:rPr>
        <w:t>．</w:t>
      </w:r>
      <w:r>
        <w:rPr>
          <w:rFonts w:ascii="Times New Roman" w:hAnsi="Times New Roman" w:eastAsia="仿宋" w:cs="Times New Roman"/>
          <w:sz w:val="32"/>
          <w:szCs w:val="32"/>
        </w:rPr>
        <w:t>企业具备有切实可行的还款来源。</w:t>
      </w:r>
    </w:p>
    <w:p w14:paraId="238A6FE1">
      <w:pPr>
        <w:overflowPunct w:val="0"/>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4</w:t>
      </w:r>
      <w:r>
        <w:rPr>
          <w:rFonts w:hint="eastAsia" w:ascii="Times New Roman" w:hAnsi="Times New Roman" w:eastAsia="仿宋" w:cs="Times New Roman"/>
          <w:sz w:val="32"/>
          <w:szCs w:val="32"/>
        </w:rPr>
        <w:t>．</w:t>
      </w:r>
      <w:r>
        <w:rPr>
          <w:rFonts w:ascii="Times New Roman" w:hAnsi="Times New Roman" w:eastAsia="仿宋" w:cs="Times New Roman"/>
          <w:sz w:val="32"/>
          <w:szCs w:val="32"/>
        </w:rPr>
        <w:t>企业非地方政府融资平台公司（由省财政厅相关处室负责统一审核）。如企业实质非政府融资平台，但被纳入平台管理的，应就是否承担地方政府举债融资职能等情况进行说明并提供相关佐证材料。</w:t>
      </w:r>
    </w:p>
    <w:p w14:paraId="74026A48">
      <w:pPr>
        <w:overflowPunct w:val="0"/>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5</w:t>
      </w:r>
      <w:r>
        <w:rPr>
          <w:rFonts w:hint="eastAsia" w:ascii="Times New Roman" w:hAnsi="Times New Roman" w:eastAsia="仿宋" w:cs="Times New Roman"/>
          <w:sz w:val="32"/>
          <w:szCs w:val="32"/>
        </w:rPr>
        <w:t>．</w:t>
      </w:r>
      <w:r>
        <w:rPr>
          <w:rFonts w:ascii="Times New Roman" w:hAnsi="Times New Roman" w:eastAsia="仿宋" w:cs="Times New Roman"/>
          <w:sz w:val="32"/>
          <w:szCs w:val="32"/>
        </w:rPr>
        <w:t>企业纳税信用评级非D级。</w:t>
      </w:r>
    </w:p>
    <w:p w14:paraId="5A02AA74">
      <w:pPr>
        <w:overflowPunct w:val="0"/>
        <w:spacing w:line="580" w:lineRule="exact"/>
        <w:ind w:firstLine="627" w:firstLineChars="196"/>
        <w:rPr>
          <w:rFonts w:ascii="楷体" w:hAnsi="楷体" w:eastAsia="楷体" w:cs="Times New Roman"/>
          <w:bCs/>
          <w:sz w:val="32"/>
          <w:szCs w:val="32"/>
        </w:rPr>
      </w:pPr>
      <w:r>
        <w:rPr>
          <w:rFonts w:ascii="楷体" w:hAnsi="楷体" w:eastAsia="楷体" w:cs="Times New Roman"/>
          <w:bCs/>
          <w:sz w:val="32"/>
          <w:szCs w:val="32"/>
        </w:rPr>
        <w:t>相关业务事宜可向基金管理人咨询。</w:t>
      </w:r>
    </w:p>
    <w:p w14:paraId="0156466C">
      <w:pPr>
        <w:overflowPunct w:val="0"/>
        <w:spacing w:line="58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三、申报程序</w:t>
      </w:r>
    </w:p>
    <w:p w14:paraId="3BE0C328">
      <w:pPr>
        <w:overflowPunct w:val="0"/>
        <w:spacing w:line="580" w:lineRule="exact"/>
        <w:ind w:firstLine="544" w:firstLineChars="170"/>
        <w:rPr>
          <w:rFonts w:ascii="Times New Roman" w:hAnsi="Times New Roman" w:eastAsia="楷体" w:cs="Times New Roman"/>
          <w:sz w:val="32"/>
          <w:szCs w:val="32"/>
        </w:rPr>
      </w:pPr>
      <w:r>
        <w:rPr>
          <w:rFonts w:ascii="Times New Roman" w:hAnsi="Times New Roman" w:eastAsia="楷体" w:cs="Times New Roman"/>
          <w:sz w:val="32"/>
          <w:szCs w:val="32"/>
        </w:rPr>
        <w:t>（一）项目申报</w:t>
      </w:r>
    </w:p>
    <w:p w14:paraId="4E4F8C15">
      <w:pPr>
        <w:overflowPunct w:val="0"/>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1</w:t>
      </w:r>
      <w:r>
        <w:rPr>
          <w:rFonts w:hint="eastAsia" w:ascii="Times New Roman" w:hAnsi="Times New Roman" w:eastAsia="仿宋" w:cs="Times New Roman"/>
          <w:sz w:val="32"/>
          <w:szCs w:val="32"/>
        </w:rPr>
        <w:t>．</w:t>
      </w:r>
      <w:r>
        <w:rPr>
          <w:rFonts w:ascii="Times New Roman" w:hAnsi="Times New Roman" w:eastAsia="仿宋" w:cs="Times New Roman"/>
          <w:sz w:val="32"/>
          <w:szCs w:val="32"/>
        </w:rPr>
        <w:t>企业填报：按照《江苏省旅游产业发展基金项目</w:t>
      </w:r>
      <w:r>
        <w:rPr>
          <w:rFonts w:hint="eastAsia" w:ascii="Times New Roman" w:hAnsi="Times New Roman" w:eastAsia="仿宋" w:cs="Times New Roman"/>
          <w:sz w:val="32"/>
          <w:szCs w:val="32"/>
        </w:rPr>
        <w:t>动态</w:t>
      </w:r>
      <w:r>
        <w:rPr>
          <w:rFonts w:ascii="Times New Roman" w:hAnsi="Times New Roman" w:eastAsia="仿宋" w:cs="Times New Roman"/>
          <w:sz w:val="32"/>
          <w:szCs w:val="32"/>
        </w:rPr>
        <w:t>申报表》（详见附件1）填报，统一用A4纸打印盖章，报送县（市、区）文化和旅游行政部门。</w:t>
      </w:r>
    </w:p>
    <w:p w14:paraId="3A833809">
      <w:pPr>
        <w:overflowPunct w:val="0"/>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2</w:t>
      </w:r>
      <w:r>
        <w:rPr>
          <w:rFonts w:hint="eastAsia" w:ascii="Times New Roman" w:hAnsi="Times New Roman" w:eastAsia="仿宋" w:cs="Times New Roman"/>
          <w:sz w:val="32"/>
          <w:szCs w:val="32"/>
        </w:rPr>
        <w:t>．</w:t>
      </w:r>
      <w:r>
        <w:rPr>
          <w:rFonts w:ascii="Times New Roman" w:hAnsi="Times New Roman" w:eastAsia="仿宋" w:cs="Times New Roman"/>
          <w:sz w:val="32"/>
          <w:szCs w:val="32"/>
        </w:rPr>
        <w:t>部门审核：由文旅部门负责对申报对象的文旅属性、品牌荣誉等基本情况进行审核。其中，原由地方财政部门审核的地方政府融资平台相关事项，统一调整由省财政厅负责审核。具体流程如下：</w:t>
      </w:r>
    </w:p>
    <w:p w14:paraId="68B86C23">
      <w:pPr>
        <w:overflowPunct w:val="0"/>
        <w:spacing w:line="600" w:lineRule="exact"/>
        <w:ind w:firstLine="544" w:firstLineChars="170"/>
        <w:rPr>
          <w:rFonts w:ascii="Times New Roman" w:hAnsi="Times New Roman" w:eastAsia="仿宋" w:cs="Times New Roman"/>
          <w:sz w:val="32"/>
          <w:szCs w:val="32"/>
        </w:rPr>
      </w:pPr>
      <w:r>
        <w:rPr>
          <w:rFonts w:ascii="Times New Roman" w:hAnsi="Times New Roman" w:eastAsia="仿宋" w:cs="Times New Roman"/>
          <w:sz w:val="32"/>
          <w:szCs w:val="32"/>
        </w:rPr>
        <w:t>（1）区级管辖范围内的企业：由区文旅部门审核，在《江苏省旅游产业发展基金项目动态申报表》上加盖公章；由设区市文旅部门审核填报属地《江苏省旅游产业发展基金动态申报项目汇总表》（详见附件2），并加盖公章。</w:t>
      </w:r>
    </w:p>
    <w:p w14:paraId="70E1F869">
      <w:pPr>
        <w:overflowPunct w:val="0"/>
        <w:spacing w:line="600" w:lineRule="exact"/>
        <w:ind w:firstLine="544" w:firstLineChars="170"/>
        <w:rPr>
          <w:rFonts w:ascii="Times New Roman" w:hAnsi="Times New Roman" w:eastAsia="仿宋" w:cs="Times New Roman"/>
          <w:sz w:val="32"/>
          <w:szCs w:val="32"/>
        </w:rPr>
      </w:pPr>
      <w:r>
        <w:rPr>
          <w:rFonts w:ascii="Times New Roman" w:hAnsi="Times New Roman" w:eastAsia="仿宋" w:cs="Times New Roman"/>
          <w:sz w:val="32"/>
          <w:szCs w:val="32"/>
        </w:rPr>
        <w:t>（2）县（市）级管辖范围内的企业：由县（市）文旅部门审核《江苏省旅游产业发展基金项目动态申报表》，填报属地《江苏省旅游产业发展基金动态申报项目汇总表》，并加盖公章。</w:t>
      </w:r>
    </w:p>
    <w:p w14:paraId="4D887736">
      <w:pPr>
        <w:overflowPunct w:val="0"/>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3</w:t>
      </w:r>
      <w:r>
        <w:rPr>
          <w:rFonts w:hint="eastAsia" w:ascii="Times New Roman" w:hAnsi="Times New Roman" w:eastAsia="仿宋" w:cs="Times New Roman"/>
          <w:sz w:val="32"/>
          <w:szCs w:val="32"/>
        </w:rPr>
        <w:t>．</w:t>
      </w:r>
      <w:r>
        <w:rPr>
          <w:rFonts w:ascii="Times New Roman" w:hAnsi="Times New Roman" w:eastAsia="仿宋" w:cs="Times New Roman"/>
          <w:sz w:val="32"/>
          <w:szCs w:val="32"/>
        </w:rPr>
        <w:t>汇总寄送：由设区市或县（市）文旅部门将《江苏省旅游产业发展基金项目申报汇总表》及企业申报材料统一寄送基金管理人，并将所有材料电子版发送至申报通知指定邮箱；县（市）汇总表由属地文旅部门同步报设区市文旅部门备案。</w:t>
      </w:r>
    </w:p>
    <w:p w14:paraId="1FE7A9B2">
      <w:pPr>
        <w:overflowPunct w:val="0"/>
        <w:spacing w:line="600" w:lineRule="exact"/>
        <w:ind w:firstLine="544" w:firstLineChars="170"/>
        <w:rPr>
          <w:rFonts w:ascii="Times New Roman" w:hAnsi="Times New Roman" w:eastAsia="楷体" w:cs="Times New Roman"/>
          <w:sz w:val="32"/>
          <w:szCs w:val="32"/>
        </w:rPr>
      </w:pPr>
      <w:r>
        <w:rPr>
          <w:rFonts w:ascii="Times New Roman" w:hAnsi="Times New Roman" w:eastAsia="楷体" w:cs="Times New Roman"/>
          <w:sz w:val="32"/>
          <w:szCs w:val="32"/>
        </w:rPr>
        <w:t>（二）项目入库</w:t>
      </w:r>
    </w:p>
    <w:p w14:paraId="46CF7121">
      <w:pPr>
        <w:overflowPunct w:val="0"/>
        <w:spacing w:line="600" w:lineRule="exact"/>
        <w:ind w:firstLine="640" w:firstLineChars="200"/>
        <w:rPr>
          <w:rFonts w:ascii="Times New Roman" w:hAnsi="Times New Roman" w:eastAsia="仿宋" w:cs="Times New Roman"/>
          <w:spacing w:val="10"/>
          <w:sz w:val="32"/>
          <w:szCs w:val="32"/>
        </w:rPr>
      </w:pPr>
      <w:r>
        <w:rPr>
          <w:rFonts w:ascii="Times New Roman" w:hAnsi="Times New Roman" w:eastAsia="仿宋" w:cs="Times New Roman"/>
          <w:sz w:val="32"/>
          <w:szCs w:val="32"/>
        </w:rPr>
        <w:t>基金管理人对各地申报的项目进行汇总统计和要件审查，审查通过后报送省文化和旅游厅。省文化和旅游厅会同相关部门（单位），依据国家产业政策和我省文化旅游业发展规划等要</w:t>
      </w:r>
      <w:r>
        <w:rPr>
          <w:rFonts w:ascii="Times New Roman" w:hAnsi="Times New Roman" w:eastAsia="仿宋" w:cs="Times New Roman"/>
          <w:spacing w:val="-4"/>
          <w:sz w:val="32"/>
          <w:szCs w:val="32"/>
        </w:rPr>
        <w:t>求进行预审，并将预审结果提交基金管委会审议。基金管委会审议通过后纳入基金备选项目库，项目入库有效期原则上不超过</w:t>
      </w:r>
      <w:r>
        <w:rPr>
          <w:rFonts w:ascii="Times New Roman" w:hAnsi="Times New Roman" w:eastAsia="仿宋" w:cs="Times New Roman"/>
          <w:spacing w:val="10"/>
          <w:sz w:val="32"/>
          <w:szCs w:val="32"/>
        </w:rPr>
        <w:t>三年。</w:t>
      </w:r>
    </w:p>
    <w:p w14:paraId="33D04DEE">
      <w:pPr>
        <w:overflowPunct w:val="0"/>
        <w:spacing w:line="600" w:lineRule="exact"/>
        <w:ind w:firstLine="544" w:firstLineChars="170"/>
        <w:rPr>
          <w:rFonts w:ascii="Times New Roman" w:hAnsi="Times New Roman" w:eastAsia="楷体" w:cs="Times New Roman"/>
          <w:sz w:val="32"/>
          <w:szCs w:val="32"/>
        </w:rPr>
      </w:pPr>
      <w:r>
        <w:rPr>
          <w:rFonts w:ascii="Times New Roman" w:hAnsi="Times New Roman" w:eastAsia="楷体" w:cs="Times New Roman"/>
          <w:sz w:val="32"/>
          <w:szCs w:val="32"/>
        </w:rPr>
        <w:t>（三）项目投放</w:t>
      </w:r>
    </w:p>
    <w:p w14:paraId="7FD7A5CA">
      <w:pPr>
        <w:overflowPunct w:val="0"/>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基金管理人对入库项目开展贷前尽职调查，按照市场化运作原则，确认项目符合基金投放要求后，与贷款单位签订贷款协议，办理基金投放手续。贷款单位需严格执行国家有关财务会计制度，按协议约定用途使用资金，并定期将贷款资金使用情况、项目实施情况报送基金管理人。</w:t>
      </w:r>
    </w:p>
    <w:p w14:paraId="2D536C83">
      <w:pPr>
        <w:overflowPunct w:val="0"/>
        <w:spacing w:line="600" w:lineRule="exact"/>
        <w:ind w:firstLine="544" w:firstLineChars="170"/>
        <w:rPr>
          <w:rFonts w:ascii="Times New Roman" w:hAnsi="Times New Roman" w:eastAsia="楷体" w:cs="Times New Roman"/>
          <w:sz w:val="32"/>
          <w:szCs w:val="32"/>
        </w:rPr>
      </w:pPr>
      <w:r>
        <w:rPr>
          <w:rFonts w:ascii="Times New Roman" w:hAnsi="Times New Roman" w:eastAsia="楷体" w:cs="Times New Roman"/>
          <w:sz w:val="32"/>
          <w:szCs w:val="32"/>
        </w:rPr>
        <w:t>（四）动态管理</w:t>
      </w:r>
    </w:p>
    <w:p w14:paraId="6AB6A900">
      <w:pPr>
        <w:overflowPunct w:val="0"/>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1</w:t>
      </w:r>
      <w:r>
        <w:rPr>
          <w:rFonts w:hint="eastAsia" w:ascii="Times New Roman" w:hAnsi="Times New Roman" w:eastAsia="仿宋" w:cs="Times New Roman"/>
          <w:sz w:val="32"/>
          <w:szCs w:val="32"/>
        </w:rPr>
        <w:t>．</w:t>
      </w:r>
      <w:r>
        <w:rPr>
          <w:rFonts w:ascii="Times New Roman" w:hAnsi="Times New Roman" w:eastAsia="仿宋" w:cs="Times New Roman"/>
          <w:sz w:val="32"/>
          <w:szCs w:val="32"/>
        </w:rPr>
        <w:t>申报频次：实行常态化申报，按月更新并扩充基金项目库。采</w:t>
      </w:r>
      <w:r>
        <w:rPr>
          <w:rFonts w:ascii="仿宋" w:hAnsi="仿宋" w:eastAsia="仿宋" w:cs="Times New Roman"/>
          <w:sz w:val="32"/>
          <w:szCs w:val="32"/>
        </w:rPr>
        <w:t>取“申报一批、归集一批、上报一批”的方式，具</w:t>
      </w:r>
      <w:r>
        <w:rPr>
          <w:rFonts w:ascii="Times New Roman" w:hAnsi="Times New Roman" w:eastAsia="仿宋" w:cs="Times New Roman"/>
          <w:sz w:val="32"/>
          <w:szCs w:val="32"/>
        </w:rPr>
        <w:t>体如下：</w:t>
      </w:r>
    </w:p>
    <w:p w14:paraId="31A147A7">
      <w:pPr>
        <w:overflowPunct w:val="0"/>
        <w:spacing w:line="600" w:lineRule="exact"/>
        <w:ind w:firstLine="627" w:firstLineChars="196"/>
        <w:rPr>
          <w:rFonts w:ascii="Times New Roman" w:hAnsi="Times New Roman" w:eastAsia="仿宋" w:cs="Times New Roman"/>
          <w:sz w:val="32"/>
          <w:szCs w:val="32"/>
        </w:rPr>
      </w:pPr>
      <w:r>
        <w:rPr>
          <w:rFonts w:ascii="Times New Roman" w:hAnsi="Times New Roman" w:eastAsia="仿宋" w:cs="Times New Roman"/>
          <w:bCs/>
          <w:sz w:val="32"/>
          <w:szCs w:val="32"/>
        </w:rPr>
        <w:t>按月申报：</w:t>
      </w:r>
      <w:r>
        <w:rPr>
          <w:rFonts w:ascii="Times New Roman" w:hAnsi="Times New Roman" w:eastAsia="仿宋" w:cs="Times New Roman"/>
          <w:sz w:val="32"/>
          <w:szCs w:val="32"/>
        </w:rPr>
        <w:t>各县（市、区）相关单位需按月组织辖区内企业</w:t>
      </w:r>
      <w:r>
        <w:rPr>
          <w:rFonts w:ascii="Times New Roman" w:hAnsi="Times New Roman" w:eastAsia="仿宋" w:cs="Times New Roman"/>
          <w:spacing w:val="-6"/>
          <w:sz w:val="32"/>
          <w:szCs w:val="32"/>
        </w:rPr>
        <w:t>开展旅游基金动态申报工作，确保符合条件的项目能够及时申报。</w:t>
      </w:r>
    </w:p>
    <w:p w14:paraId="0DA13A81">
      <w:pPr>
        <w:overflowPunct w:val="0"/>
        <w:spacing w:line="600" w:lineRule="exact"/>
        <w:ind w:firstLine="627" w:firstLineChars="196"/>
        <w:rPr>
          <w:rFonts w:ascii="Times New Roman" w:hAnsi="Times New Roman" w:eastAsia="仿宋" w:cs="Times New Roman"/>
          <w:sz w:val="32"/>
          <w:szCs w:val="32"/>
        </w:rPr>
      </w:pPr>
      <w:r>
        <w:rPr>
          <w:rFonts w:ascii="Times New Roman" w:hAnsi="Times New Roman" w:eastAsia="仿宋" w:cs="Times New Roman"/>
          <w:bCs/>
          <w:sz w:val="32"/>
          <w:szCs w:val="32"/>
        </w:rPr>
        <w:t>集中汇总上报：各单位每月将辖区内申报项目集中汇总后，</w:t>
      </w:r>
      <w:r>
        <w:rPr>
          <w:rFonts w:ascii="Times New Roman" w:hAnsi="Times New Roman" w:eastAsia="仿宋" w:cs="Times New Roman"/>
          <w:sz w:val="32"/>
          <w:szCs w:val="32"/>
        </w:rPr>
        <w:t>按照流程</w:t>
      </w:r>
      <w:r>
        <w:rPr>
          <w:rFonts w:ascii="Times New Roman" w:hAnsi="Times New Roman" w:eastAsia="仿宋" w:cs="Times New Roman"/>
          <w:bCs/>
          <w:sz w:val="32"/>
          <w:szCs w:val="32"/>
        </w:rPr>
        <w:t>统一</w:t>
      </w:r>
      <w:r>
        <w:rPr>
          <w:rFonts w:ascii="Times New Roman" w:hAnsi="Times New Roman" w:eastAsia="仿宋" w:cs="Times New Roman"/>
          <w:sz w:val="32"/>
          <w:szCs w:val="32"/>
        </w:rPr>
        <w:t>上报至基金管理人。基金管理人对收集到的项目进行整理后，集中向基金管委会办公室上报，通过传签形式完成审批流程。</w:t>
      </w:r>
    </w:p>
    <w:p w14:paraId="663B5E77">
      <w:pPr>
        <w:overflowPunct w:val="0"/>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2</w:t>
      </w:r>
      <w:r>
        <w:rPr>
          <w:rFonts w:hint="eastAsia" w:ascii="Times New Roman" w:hAnsi="Times New Roman" w:eastAsia="仿宋" w:cs="Times New Roman"/>
          <w:sz w:val="32"/>
          <w:szCs w:val="32"/>
        </w:rPr>
        <w:t>．</w:t>
      </w:r>
      <w:r>
        <w:rPr>
          <w:rFonts w:ascii="Times New Roman" w:hAnsi="Times New Roman" w:eastAsia="仿宋" w:cs="Times New Roman"/>
          <w:sz w:val="32"/>
          <w:szCs w:val="32"/>
        </w:rPr>
        <w:t>便捷管理：基金项目库中的项目，如需新增贷款或续贷，所需金额在申报入库额度之内的，可直接向基金管理人提出申请，由基金管理人统筹向基金管委会办公室报备；超过申报入库额度的，则应重新进行申报。</w:t>
      </w:r>
    </w:p>
    <w:p w14:paraId="567080CF">
      <w:pPr>
        <w:overflowPunct w:val="0"/>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3</w:t>
      </w:r>
      <w:r>
        <w:rPr>
          <w:rFonts w:hint="eastAsia" w:ascii="Times New Roman" w:hAnsi="Times New Roman" w:eastAsia="仿宋" w:cs="Times New Roman"/>
          <w:sz w:val="32"/>
          <w:szCs w:val="32"/>
        </w:rPr>
        <w:t>．</w:t>
      </w:r>
      <w:r>
        <w:rPr>
          <w:rFonts w:ascii="Times New Roman" w:hAnsi="Times New Roman" w:eastAsia="仿宋" w:cs="Times New Roman"/>
          <w:sz w:val="32"/>
          <w:szCs w:val="32"/>
        </w:rPr>
        <w:t>数字化管理：逐步推进基金项目申报和基金项目库的数字化转型、智慧化管理，实现网上办理、动态审核。</w:t>
      </w:r>
    </w:p>
    <w:p w14:paraId="2EF36F3E">
      <w:pPr>
        <w:overflowPunct w:val="0"/>
        <w:spacing w:line="60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四、申报要求</w:t>
      </w:r>
    </w:p>
    <w:p w14:paraId="0CF82913">
      <w:pPr>
        <w:overflowPunct w:val="0"/>
        <w:spacing w:line="600" w:lineRule="exact"/>
        <w:ind w:firstLine="544" w:firstLineChars="170"/>
        <w:rPr>
          <w:rFonts w:ascii="Times New Roman" w:hAnsi="Times New Roman" w:eastAsia="楷体" w:cs="Times New Roman"/>
          <w:sz w:val="32"/>
          <w:szCs w:val="32"/>
        </w:rPr>
      </w:pPr>
      <w:r>
        <w:rPr>
          <w:rFonts w:ascii="Times New Roman" w:hAnsi="Times New Roman" w:eastAsia="楷体" w:cs="Times New Roman"/>
          <w:sz w:val="32"/>
          <w:szCs w:val="32"/>
        </w:rPr>
        <w:t>（一）贷款额度</w:t>
      </w:r>
    </w:p>
    <w:p w14:paraId="3D547CB7">
      <w:pPr>
        <w:overflowPunct w:val="0"/>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单个项目授信额度原则上合计不超过2000万元；确需超过2000万元的，由基金管委会审定。项目申报额度不得超过该申报项目计划投入金额（涵盖已投入和准备投入的资金）。实际贷款额度由基金管理人按照市场化运作原则和项目实际情况审核确定。</w:t>
      </w:r>
    </w:p>
    <w:p w14:paraId="5136509E">
      <w:pPr>
        <w:overflowPunct w:val="0"/>
        <w:spacing w:line="600" w:lineRule="exact"/>
        <w:ind w:firstLine="544" w:firstLineChars="170"/>
        <w:rPr>
          <w:rFonts w:ascii="Times New Roman" w:hAnsi="Times New Roman" w:eastAsia="楷体" w:cs="Times New Roman"/>
          <w:sz w:val="32"/>
          <w:szCs w:val="32"/>
        </w:rPr>
      </w:pPr>
      <w:r>
        <w:rPr>
          <w:rFonts w:ascii="Times New Roman" w:hAnsi="Times New Roman" w:eastAsia="楷体" w:cs="Times New Roman"/>
          <w:sz w:val="32"/>
          <w:szCs w:val="32"/>
        </w:rPr>
        <w:t>（二）贷款用途</w:t>
      </w:r>
    </w:p>
    <w:p w14:paraId="543A8439">
      <w:pPr>
        <w:overflowPunct w:val="0"/>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贷款资金仅用于文旅企业流动资金需求或文旅项目固定资产投资，不得用于投资股票、基金、期货等金融产品以及与文旅无关的项目。</w:t>
      </w:r>
    </w:p>
    <w:p w14:paraId="4BADD62F">
      <w:pPr>
        <w:overflowPunct w:val="0"/>
        <w:spacing w:line="600" w:lineRule="exact"/>
        <w:ind w:firstLine="544" w:firstLineChars="170"/>
        <w:rPr>
          <w:rFonts w:ascii="Times New Roman" w:hAnsi="Times New Roman" w:eastAsia="楷体" w:cs="Times New Roman"/>
          <w:sz w:val="32"/>
          <w:szCs w:val="32"/>
        </w:rPr>
      </w:pPr>
      <w:r>
        <w:rPr>
          <w:rFonts w:ascii="Times New Roman" w:hAnsi="Times New Roman" w:eastAsia="楷体" w:cs="Times New Roman"/>
          <w:sz w:val="32"/>
          <w:szCs w:val="32"/>
        </w:rPr>
        <w:t>（三）贷款期限</w:t>
      </w:r>
    </w:p>
    <w:p w14:paraId="6A2E90E3">
      <w:pPr>
        <w:overflowPunct w:val="0"/>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贷款发放须在项目库有效期内进行。其中，流动资金贷款期限不超过3年；固定资产投资贷款期限不超过5年。流动资金贷款主要满足项目实施企业资金需求，不要求贷款期限与具体合同的回款周期完全一致；固定资产贷款期限可以根据还款来源和项目建设及运营周期等因素科学确定。</w:t>
      </w:r>
    </w:p>
    <w:p w14:paraId="5E821A65">
      <w:pPr>
        <w:overflowPunct w:val="0"/>
        <w:spacing w:line="600" w:lineRule="exact"/>
        <w:ind w:firstLine="544" w:firstLineChars="170"/>
        <w:rPr>
          <w:rFonts w:ascii="Times New Roman" w:hAnsi="Times New Roman" w:eastAsia="楷体" w:cs="Times New Roman"/>
          <w:sz w:val="32"/>
          <w:szCs w:val="32"/>
        </w:rPr>
      </w:pPr>
      <w:r>
        <w:rPr>
          <w:rFonts w:ascii="Times New Roman" w:hAnsi="Times New Roman" w:eastAsia="楷体" w:cs="Times New Roman"/>
          <w:sz w:val="32"/>
          <w:szCs w:val="32"/>
        </w:rPr>
        <w:t>（四）贷款利率</w:t>
      </w:r>
    </w:p>
    <w:p w14:paraId="035FBF9D">
      <w:pPr>
        <w:overflowPunct w:val="0"/>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贷款利率为固定利率，不高于贷款投放当年1月1日的1年期贷款市场报价利率（LPR），具体以基金管委</w:t>
      </w:r>
      <w:r>
        <w:rPr>
          <w:rFonts w:ascii="Times New Roman" w:hAnsi="Times New Roman" w:eastAsia="仿宋" w:cs="Times New Roman"/>
          <w:spacing w:val="-6"/>
          <w:sz w:val="32"/>
          <w:szCs w:val="32"/>
        </w:rPr>
        <w:t>会审议确定的贷款利率为准。在收到正式调整通知前，贷款发放利率按2.95%执</w:t>
      </w:r>
      <w:r>
        <w:rPr>
          <w:rFonts w:ascii="Times New Roman" w:hAnsi="Times New Roman" w:eastAsia="仿宋" w:cs="Times New Roman"/>
          <w:sz w:val="32"/>
          <w:szCs w:val="32"/>
        </w:rPr>
        <w:t>行。</w:t>
      </w:r>
    </w:p>
    <w:p w14:paraId="66C281EF">
      <w:pPr>
        <w:overflowPunct w:val="0"/>
        <w:spacing w:line="600" w:lineRule="exact"/>
        <w:ind w:firstLine="544" w:firstLineChars="170"/>
        <w:rPr>
          <w:rFonts w:ascii="Times New Roman" w:hAnsi="Times New Roman" w:eastAsia="楷体" w:cs="Times New Roman"/>
          <w:sz w:val="32"/>
          <w:szCs w:val="32"/>
        </w:rPr>
      </w:pPr>
      <w:r>
        <w:rPr>
          <w:rFonts w:ascii="Times New Roman" w:hAnsi="Times New Roman" w:eastAsia="楷体" w:cs="Times New Roman"/>
          <w:sz w:val="32"/>
          <w:szCs w:val="32"/>
        </w:rPr>
        <w:t>（五）担保措施</w:t>
      </w:r>
    </w:p>
    <w:p w14:paraId="7221695C">
      <w:pPr>
        <w:overflowPunct w:val="0"/>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申报单位需提供有效的抵押、质押或保证等担保措施。鼓励通过引入专业担保机构进行增信，以强化信贷风险管控，保障基金健康可持续发展。</w:t>
      </w:r>
    </w:p>
    <w:p w14:paraId="651D5958">
      <w:pPr>
        <w:overflowPunct w:val="0"/>
        <w:spacing w:line="60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五、其他事项</w:t>
      </w:r>
    </w:p>
    <w:p w14:paraId="6F24C49F">
      <w:pPr>
        <w:overflowPunct w:val="0"/>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1</w:t>
      </w:r>
      <w:r>
        <w:rPr>
          <w:rFonts w:hint="eastAsia" w:ascii="Times New Roman" w:hAnsi="Times New Roman" w:eastAsia="仿宋" w:cs="Times New Roman"/>
          <w:sz w:val="32"/>
          <w:szCs w:val="32"/>
        </w:rPr>
        <w:t>．</w:t>
      </w:r>
      <w:r>
        <w:rPr>
          <w:rFonts w:ascii="Times New Roman" w:hAnsi="Times New Roman" w:eastAsia="仿宋" w:cs="Times New Roman"/>
          <w:sz w:val="32"/>
          <w:szCs w:val="32"/>
        </w:rPr>
        <w:t>为充分发挥基金的政策性资金效能，请各地财政部门会同文旅部门，主动对接地方国资部门，加强协调联动，共同保障文旅企业及项目顺利申报、规范使用基金。</w:t>
      </w:r>
    </w:p>
    <w:p w14:paraId="2409E874">
      <w:pPr>
        <w:overflowPunct w:val="0"/>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2</w:t>
      </w:r>
      <w:r>
        <w:rPr>
          <w:rFonts w:hint="eastAsia" w:ascii="Times New Roman" w:hAnsi="Times New Roman" w:eastAsia="仿宋" w:cs="Times New Roman"/>
          <w:sz w:val="32"/>
          <w:szCs w:val="32"/>
        </w:rPr>
        <w:t>．</w:t>
      </w:r>
      <w:r>
        <w:rPr>
          <w:rFonts w:ascii="Times New Roman" w:hAnsi="Times New Roman" w:eastAsia="仿宋" w:cs="Times New Roman"/>
          <w:sz w:val="32"/>
          <w:szCs w:val="32"/>
        </w:rPr>
        <w:t>申报单位提供的文件与材料，应保证其完整、真实、准确。在基金申报、使用过程中，如发现弄虚作假、截留挪用等违反财经纪律的行为，除依照有关法律法规对申报单位和相关责任人进行处罚外，还将对申报单位采取终止项目合同、停止放贷并收回已发放贷款资金、取消申报资格等措施。</w:t>
      </w:r>
    </w:p>
    <w:p w14:paraId="26E6BCAC">
      <w:pPr>
        <w:overflowPunct w:val="0"/>
        <w:spacing w:line="600" w:lineRule="exact"/>
        <w:ind w:firstLine="640" w:firstLineChars="200"/>
        <w:rPr>
          <w:rFonts w:hint="eastAsia" w:ascii="Times New Roman" w:hAnsi="Times New Roman" w:eastAsia="仿宋" w:cs="Times New Roman"/>
          <w:sz w:val="32"/>
          <w:szCs w:val="32"/>
        </w:rPr>
      </w:pPr>
      <w:r>
        <w:rPr>
          <w:rFonts w:ascii="Times New Roman" w:hAnsi="Times New Roman" w:eastAsia="仿宋" w:cs="Times New Roman"/>
          <w:sz w:val="32"/>
          <w:szCs w:val="32"/>
        </w:rPr>
        <w:t>3</w:t>
      </w:r>
      <w:r>
        <w:rPr>
          <w:rFonts w:hint="eastAsia" w:ascii="Times New Roman" w:hAnsi="Times New Roman" w:eastAsia="仿宋" w:cs="Times New Roman"/>
          <w:sz w:val="32"/>
          <w:szCs w:val="32"/>
        </w:rPr>
        <w:t>．</w:t>
      </w:r>
      <w:r>
        <w:rPr>
          <w:rFonts w:ascii="Times New Roman" w:hAnsi="Times New Roman" w:eastAsia="仿宋" w:cs="Times New Roman"/>
          <w:sz w:val="32"/>
          <w:szCs w:val="32"/>
        </w:rPr>
        <w:t>本指南文本可在江苏省文化和旅游厅网站上进行查询和下载。</w:t>
      </w:r>
    </w:p>
    <w:p w14:paraId="7581DBAF">
      <w:pPr>
        <w:overflowPunct w:val="0"/>
        <w:spacing w:line="600" w:lineRule="exact"/>
        <w:ind w:firstLine="640" w:firstLineChars="200"/>
        <w:rPr>
          <w:rFonts w:hint="eastAsia" w:ascii="Times New Roman" w:hAnsi="Times New Roman" w:eastAsia="仿宋" w:cs="Times New Roman"/>
          <w:sz w:val="32"/>
          <w:szCs w:val="32"/>
        </w:rPr>
      </w:pPr>
    </w:p>
    <w:p w14:paraId="6037B936">
      <w:pPr>
        <w:widowControl/>
        <w:jc w:val="center"/>
        <w:rPr>
          <w:rFonts w:hint="eastAsia" w:ascii="仿宋" w:hAnsi="仿宋" w:eastAsia="仿宋" w:cs="Times New Roman"/>
          <w:bCs/>
          <w:kern w:val="0"/>
          <w:sz w:val="32"/>
          <w:szCs w:val="32"/>
        </w:rPr>
      </w:pPr>
      <w:r>
        <w:rPr>
          <w:rFonts w:ascii="Times New Roman" w:hAnsi="Times New Roman" w:eastAsia="仿宋" w:cs="Times New Roman"/>
          <w:sz w:val="32"/>
          <w:szCs w:val="32"/>
        </w:rPr>
        <w:t>附件：1．</w:t>
      </w:r>
      <w:r>
        <w:rPr>
          <w:rFonts w:ascii="Times New Roman" w:hAnsi="Times New Roman" w:eastAsia="仿宋" w:cs="Times New Roman"/>
          <w:bCs/>
          <w:kern w:val="0"/>
          <w:sz w:val="32"/>
          <w:szCs w:val="32"/>
        </w:rPr>
        <w:t>江苏省旅游产业发展基金项目动态申报</w:t>
      </w:r>
      <w:r>
        <w:rPr>
          <w:rFonts w:ascii="仿宋" w:hAnsi="仿宋" w:eastAsia="仿宋" w:cs="Times New Roman"/>
          <w:bCs/>
          <w:kern w:val="0"/>
          <w:sz w:val="32"/>
          <w:szCs w:val="32"/>
        </w:rPr>
        <w:t>表</w:t>
      </w:r>
    </w:p>
    <w:p w14:paraId="61C764BC">
      <w:pPr>
        <w:widowControl/>
        <w:jc w:val="center"/>
        <w:rPr>
          <w:rFonts w:ascii="Times New Roman" w:hAnsi="Times New Roman" w:eastAsia="仿宋" w:cs="Times New Roman"/>
          <w:bCs/>
          <w:kern w:val="0"/>
          <w:sz w:val="32"/>
          <w:szCs w:val="32"/>
        </w:rPr>
      </w:pPr>
      <w:r>
        <w:rPr>
          <w:rFonts w:hint="eastAsia" w:ascii="Times New Roman" w:hAnsi="Times New Roman" w:eastAsia="仿宋" w:cs="Times New Roman"/>
          <w:bCs/>
          <w:kern w:val="0"/>
          <w:sz w:val="32"/>
          <w:szCs w:val="32"/>
        </w:rPr>
        <w:t xml:space="preserve">          2．</w:t>
      </w:r>
      <w:r>
        <w:rPr>
          <w:rFonts w:ascii="Times New Roman" w:hAnsi="Times New Roman" w:eastAsia="仿宋" w:cs="Times New Roman"/>
          <w:bCs/>
          <w:kern w:val="0"/>
          <w:sz w:val="32"/>
          <w:szCs w:val="32"/>
        </w:rPr>
        <w:t>江苏省旅游产业发展基金项目动态申报汇总表</w:t>
      </w:r>
    </w:p>
    <w:p w14:paraId="04F58F30">
      <w:pPr>
        <w:widowControl/>
        <w:jc w:val="center"/>
        <w:rPr>
          <w:rFonts w:ascii="Times New Roman" w:hAnsi="Times New Roman" w:eastAsia="方正小标宋_GBK" w:cs="Times New Roman"/>
          <w:bCs/>
          <w:kern w:val="0"/>
          <w:sz w:val="44"/>
          <w:szCs w:val="44"/>
        </w:rPr>
      </w:pPr>
    </w:p>
    <w:p w14:paraId="389F2CC0">
      <w:pPr>
        <w:overflowPunct w:val="0"/>
        <w:spacing w:line="600" w:lineRule="exact"/>
        <w:ind w:firstLine="640" w:firstLineChars="200"/>
        <w:rPr>
          <w:rFonts w:ascii="Times New Roman" w:hAnsi="Times New Roman" w:eastAsia="仿宋" w:cs="Times New Roman"/>
          <w:sz w:val="32"/>
          <w:szCs w:val="32"/>
        </w:rPr>
      </w:pPr>
    </w:p>
    <w:p w14:paraId="681E069D">
      <w:pPr>
        <w:overflowPunct w:val="0"/>
        <w:spacing w:line="600" w:lineRule="exact"/>
        <w:rPr>
          <w:rFonts w:ascii="Times New Roman" w:hAnsi="Times New Roman" w:eastAsia="仿宋" w:cs="Times New Roman"/>
          <w:szCs w:val="32"/>
        </w:rPr>
      </w:pPr>
      <w:bookmarkStart w:id="0" w:name="_GoBack"/>
      <w:bookmarkEnd w:id="0"/>
    </w:p>
    <w:sectPr>
      <w:footerReference r:id="rId3" w:type="default"/>
      <w:footerReference r:id="rId4" w:type="even"/>
      <w:pgSz w:w="11906" w:h="16838"/>
      <w:pgMar w:top="1814" w:right="1531" w:bottom="1985" w:left="1531" w:header="1077" w:footer="1474"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仿宋_GBK">
    <w:panose1 w:val="03000509000000000000"/>
    <w:charset w:val="86"/>
    <w:family w:val="script"/>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35DDBB">
    <w:pPr>
      <w:pStyle w:val="4"/>
      <w:snapToGrid/>
      <w:spacing w:line="400" w:lineRule="exact"/>
      <w:ind w:left="210" w:leftChars="100" w:right="210" w:rightChars="100"/>
      <w:jc w:val="right"/>
      <w:rPr>
        <w:rFonts w:asciiTheme="minorEastAsia" w:hAnsiTheme="minorEastAsia"/>
        <w:sz w:val="28"/>
        <w:szCs w:val="28"/>
      </w:rPr>
    </w:pPr>
    <w:r>
      <w:rPr>
        <w:rFonts w:hint="eastAsia" w:asciiTheme="minorEastAsia" w:hAnsiTheme="minorEastAsia"/>
        <w:sz w:val="28"/>
        <w:szCs w:val="28"/>
      </w:rPr>
      <w:t xml:space="preserve">— </w:t>
    </w:r>
    <w:sdt>
      <w:sdtPr>
        <w:rPr>
          <w:rFonts w:asciiTheme="minorEastAsia" w:hAnsiTheme="minorEastAsia"/>
          <w:sz w:val="28"/>
          <w:szCs w:val="28"/>
        </w:rPr>
        <w:id w:val="-561708031"/>
        <w:docPartObj>
          <w:docPartGallery w:val="AutoText"/>
        </w:docPartObj>
      </w:sdtPr>
      <w:sdtEndPr>
        <w:rPr>
          <w:rFonts w:asciiTheme="minorEastAsia" w:hAnsiTheme="minorEastAsia"/>
          <w:sz w:val="28"/>
          <w:szCs w:val="28"/>
        </w:rPr>
      </w:sdtEndPr>
      <w:sdtContent>
        <w:r>
          <w:rPr>
            <w:rFonts w:ascii="Times New Roman" w:hAnsi="Times New Roman" w:cs="Times New Roman"/>
            <w:sz w:val="28"/>
            <w:szCs w:val="28"/>
          </w:rPr>
          <w:fldChar w:fldCharType="begin"/>
        </w:r>
        <w:r>
          <w:rPr>
            <w:rFonts w:ascii="Times New Roman" w:hAnsi="Times New Roman" w:cs="Times New Roman"/>
            <w:sz w:val="28"/>
            <w:szCs w:val="28"/>
          </w:rPr>
          <w:instrText xml:space="preserve">PAGE   \* MERGEFORMAT</w:instrText>
        </w:r>
        <w:r>
          <w:rPr>
            <w:rFonts w:ascii="Times New Roman" w:hAnsi="Times New Roman" w:cs="Times New Roman"/>
            <w:sz w:val="28"/>
            <w:szCs w:val="28"/>
          </w:rPr>
          <w:fldChar w:fldCharType="separate"/>
        </w:r>
        <w:r>
          <w:rPr>
            <w:rFonts w:ascii="Times New Roman" w:hAnsi="Times New Roman" w:cs="Times New Roman"/>
            <w:sz w:val="28"/>
            <w:szCs w:val="28"/>
            <w:lang w:val="zh-CN"/>
          </w:rPr>
          <w:t>1</w:t>
        </w:r>
        <w:r>
          <w:rPr>
            <w:rFonts w:ascii="Times New Roman" w:hAnsi="Times New Roman" w:cs="Times New Roman"/>
            <w:sz w:val="28"/>
            <w:szCs w:val="28"/>
          </w:rPr>
          <w:fldChar w:fldCharType="end"/>
        </w:r>
        <w:r>
          <w:rPr>
            <w:rFonts w:hint="eastAsia" w:asciiTheme="minorEastAsia" w:hAnsiTheme="minorEastAsia"/>
            <w:sz w:val="28"/>
            <w:szCs w:val="28"/>
          </w:rPr>
          <w:t xml:space="preserve"> —</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8E4000">
    <w:pPr>
      <w:pStyle w:val="4"/>
      <w:snapToGrid/>
      <w:spacing w:line="400" w:lineRule="exact"/>
      <w:ind w:left="210" w:leftChars="100" w:right="210" w:rightChars="100"/>
      <w:rPr>
        <w:rFonts w:asciiTheme="minorEastAsia" w:hAnsiTheme="minorEastAsia"/>
        <w:sz w:val="28"/>
        <w:szCs w:val="28"/>
      </w:rPr>
    </w:pPr>
    <w:r>
      <w:rPr>
        <w:rFonts w:hint="eastAsia" w:asciiTheme="minorEastAsia" w:hAnsiTheme="minorEastAsia"/>
        <w:sz w:val="28"/>
        <w:szCs w:val="28"/>
      </w:rPr>
      <w:t xml:space="preserve">— </w:t>
    </w:r>
    <w:sdt>
      <w:sdtPr>
        <w:rPr>
          <w:rFonts w:asciiTheme="minorEastAsia" w:hAnsiTheme="minorEastAsia"/>
          <w:sz w:val="28"/>
          <w:szCs w:val="28"/>
        </w:rPr>
        <w:id w:val="1252699512"/>
        <w:docPartObj>
          <w:docPartGallery w:val="AutoText"/>
        </w:docPartObj>
      </w:sdtPr>
      <w:sdtEndPr>
        <w:rPr>
          <w:rFonts w:asciiTheme="minorEastAsia" w:hAnsiTheme="minorEastAsia"/>
          <w:sz w:val="28"/>
          <w:szCs w:val="28"/>
        </w:rPr>
      </w:sdtEndPr>
      <w:sdtContent>
        <w:r>
          <w:rPr>
            <w:rFonts w:ascii="Times New Roman" w:hAnsi="Times New Roman" w:cs="Times New Roman"/>
            <w:sz w:val="28"/>
            <w:szCs w:val="28"/>
          </w:rPr>
          <w:fldChar w:fldCharType="begin"/>
        </w:r>
        <w:r>
          <w:rPr>
            <w:rFonts w:ascii="Times New Roman" w:hAnsi="Times New Roman" w:cs="Times New Roman"/>
            <w:sz w:val="28"/>
            <w:szCs w:val="28"/>
          </w:rPr>
          <w:instrText xml:space="preserve">PAGE   \* MERGEFORMAT</w:instrText>
        </w:r>
        <w:r>
          <w:rPr>
            <w:rFonts w:ascii="Times New Roman" w:hAnsi="Times New Roman" w:cs="Times New Roman"/>
            <w:sz w:val="28"/>
            <w:szCs w:val="28"/>
          </w:rPr>
          <w:fldChar w:fldCharType="separate"/>
        </w:r>
        <w:r>
          <w:rPr>
            <w:rFonts w:ascii="Times New Roman" w:hAnsi="Times New Roman" w:cs="Times New Roman"/>
            <w:sz w:val="28"/>
            <w:szCs w:val="28"/>
            <w:lang w:val="zh-CN"/>
          </w:rPr>
          <w:t>2</w:t>
        </w:r>
        <w:r>
          <w:rPr>
            <w:rFonts w:ascii="Times New Roman" w:hAnsi="Times New Roman" w:cs="Times New Roman"/>
            <w:sz w:val="28"/>
            <w:szCs w:val="28"/>
          </w:rPr>
          <w:fldChar w:fldCharType="end"/>
        </w:r>
        <w:r>
          <w:rPr>
            <w:rFonts w:hint="eastAsia" w:asciiTheme="minorEastAsia" w:hAnsiTheme="minorEastAsia"/>
            <w:sz w:val="28"/>
            <w:szCs w:val="28"/>
          </w:rPr>
          <w:t xml:space="preserve"> —</w:t>
        </w:r>
      </w:sdtContent>
    </w:sdt>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4EBE"/>
    <w:rsid w:val="000305EC"/>
    <w:rsid w:val="001B18EB"/>
    <w:rsid w:val="001D2B4A"/>
    <w:rsid w:val="001E27DB"/>
    <w:rsid w:val="001F5FA7"/>
    <w:rsid w:val="002330AF"/>
    <w:rsid w:val="002A27BD"/>
    <w:rsid w:val="002D4662"/>
    <w:rsid w:val="003C2119"/>
    <w:rsid w:val="004367D1"/>
    <w:rsid w:val="004B51D0"/>
    <w:rsid w:val="004D0979"/>
    <w:rsid w:val="004E4EBE"/>
    <w:rsid w:val="00612BC2"/>
    <w:rsid w:val="006B258F"/>
    <w:rsid w:val="00705B32"/>
    <w:rsid w:val="00710A55"/>
    <w:rsid w:val="00724E9F"/>
    <w:rsid w:val="00770163"/>
    <w:rsid w:val="008B1493"/>
    <w:rsid w:val="008E5129"/>
    <w:rsid w:val="008F05B1"/>
    <w:rsid w:val="00CE604D"/>
    <w:rsid w:val="00D83110"/>
    <w:rsid w:val="00FE096A"/>
    <w:rsid w:val="334D5C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3"/>
    <w:qFormat/>
    <w:uiPriority w:val="9"/>
    <w:pPr>
      <w:keepNext/>
      <w:keepLines/>
      <w:overflowPunct w:val="0"/>
      <w:adjustRightInd w:val="0"/>
      <w:snapToGrid w:val="0"/>
      <w:jc w:val="center"/>
      <w:outlineLvl w:val="0"/>
    </w:pPr>
    <w:rPr>
      <w:rFonts w:ascii="Times New Roman" w:hAnsi="Times New Roman" w:eastAsia="方正小标宋_GBK"/>
      <w:bCs/>
      <w:kern w:val="44"/>
      <w:sz w:val="44"/>
      <w:szCs w:val="44"/>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2"/>
    <w:semiHidden/>
    <w:unhideWhenUsed/>
    <w:qFormat/>
    <w:uiPriority w:val="99"/>
    <w:rPr>
      <w:sz w:val="18"/>
      <w:szCs w:val="18"/>
    </w:rPr>
  </w:style>
  <w:style w:type="paragraph" w:styleId="4">
    <w:name w:val="footer"/>
    <w:basedOn w:val="1"/>
    <w:link w:val="11"/>
    <w:unhideWhenUsed/>
    <w:qFormat/>
    <w:uiPriority w:val="99"/>
    <w:pPr>
      <w:tabs>
        <w:tab w:val="center" w:pos="4153"/>
        <w:tab w:val="right" w:pos="8306"/>
      </w:tabs>
      <w:snapToGrid w:val="0"/>
      <w:jc w:val="left"/>
    </w:pPr>
    <w:rPr>
      <w:sz w:val="18"/>
      <w:szCs w:val="18"/>
    </w:rPr>
  </w:style>
  <w:style w:type="paragraph" w:styleId="5">
    <w:name w:val="header"/>
    <w:basedOn w:val="1"/>
    <w:link w:val="10"/>
    <w:unhideWhenUsed/>
    <w:uiPriority w:val="99"/>
    <w:pPr>
      <w:pBdr>
        <w:bottom w:val="single" w:color="auto" w:sz="6" w:space="1"/>
      </w:pBdr>
      <w:tabs>
        <w:tab w:val="center" w:pos="4153"/>
        <w:tab w:val="right" w:pos="8306"/>
      </w:tabs>
      <w:snapToGrid w:val="0"/>
      <w:jc w:val="center"/>
    </w:pPr>
    <w:rPr>
      <w:sz w:val="18"/>
      <w:szCs w:val="18"/>
    </w:rPr>
  </w:style>
  <w:style w:type="table" w:styleId="7">
    <w:name w:val="Table Grid"/>
    <w:basedOn w:val="6"/>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Hyperlink"/>
    <w:basedOn w:val="8"/>
    <w:unhideWhenUsed/>
    <w:qFormat/>
    <w:uiPriority w:val="99"/>
    <w:rPr>
      <w:color w:val="0000FF" w:themeColor="hyperlink"/>
      <w:u w:val="single"/>
      <w14:textFill>
        <w14:solidFill>
          <w14:schemeClr w14:val="hlink"/>
        </w14:solidFill>
      </w14:textFill>
    </w:rPr>
  </w:style>
  <w:style w:type="character" w:customStyle="1" w:styleId="10">
    <w:name w:val="页眉 Char"/>
    <w:basedOn w:val="8"/>
    <w:link w:val="5"/>
    <w:uiPriority w:val="99"/>
    <w:rPr>
      <w:sz w:val="18"/>
      <w:szCs w:val="18"/>
    </w:rPr>
  </w:style>
  <w:style w:type="character" w:customStyle="1" w:styleId="11">
    <w:name w:val="页脚 Char"/>
    <w:basedOn w:val="8"/>
    <w:link w:val="4"/>
    <w:uiPriority w:val="99"/>
    <w:rPr>
      <w:sz w:val="18"/>
      <w:szCs w:val="18"/>
    </w:rPr>
  </w:style>
  <w:style w:type="character" w:customStyle="1" w:styleId="12">
    <w:name w:val="批注框文本 Char"/>
    <w:basedOn w:val="8"/>
    <w:link w:val="3"/>
    <w:semiHidden/>
    <w:qFormat/>
    <w:uiPriority w:val="99"/>
    <w:rPr>
      <w:sz w:val="18"/>
      <w:szCs w:val="18"/>
    </w:rPr>
  </w:style>
  <w:style w:type="character" w:customStyle="1" w:styleId="13">
    <w:name w:val="标题 1 Char"/>
    <w:basedOn w:val="8"/>
    <w:link w:val="2"/>
    <w:qFormat/>
    <w:uiPriority w:val="9"/>
    <w:rPr>
      <w:rFonts w:ascii="Times New Roman" w:hAnsi="Times New Roman" w:eastAsia="方正小标宋_GBK"/>
      <w:bCs/>
      <w:kern w:val="44"/>
      <w:sz w:val="44"/>
      <w:szCs w:val="4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3399</Words>
  <Characters>3493</Characters>
  <Lines>28</Lines>
  <Paragraphs>7</Paragraphs>
  <TotalTime>1</TotalTime>
  <ScaleCrop>false</ScaleCrop>
  <LinksUpToDate>false</LinksUpToDate>
  <CharactersWithSpaces>3687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2026-04-07T03:29:00Z</dcterms:created>
  <dc:creator>DELL</dc:creator>
  <cp:lastModifiedBy>微信用户</cp:lastModifiedBy>
  <cp:lastPrinted>2026-04-07T03:28:00Z</cp:lastPrinted>
  <dcterms:modified xsi:type="dcterms:W3CDTF">2026-04-08T08:40:25Z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eyJoZGlkIjoiODViNzJkYWFjY2NmZDc4ZGZlZjBiMjczNDhlOGZhOGQiLCJ1c2VySWQiOiIxNDY4NTQ2NTY2In0=</vt:lpwstr>
  </property>
  <property fmtid="{D5CDD505-2E9C-101B-9397-08002B2CF9AE}" pid="3" name="KSOProductBuildVer">
    <vt:lpwstr>2052-12.1.0.25225</vt:lpwstr>
  </property>
  <property fmtid="{D5CDD505-2E9C-101B-9397-08002B2CF9AE}" pid="4" name="ICV">
    <vt:lpwstr>32150624B4384C18BA379F2B55A1F1D2_13</vt:lpwstr>
  </property>
</Properties>
</file>