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874F85">
      <w:pPr>
        <w:spacing w:line="550" w:lineRule="exact"/>
        <w:rPr>
          <w:rFonts w:eastAsia="方正黑体"/>
          <w:sz w:val="32"/>
          <w:szCs w:val="32"/>
        </w:rPr>
      </w:pPr>
      <w:r>
        <w:rPr>
          <w:rFonts w:eastAsia="方正黑体"/>
          <w:sz w:val="32"/>
          <w:szCs w:val="32"/>
        </w:rPr>
        <w:t>附件</w:t>
      </w:r>
      <w:r>
        <w:rPr>
          <w:rFonts w:hint="eastAsia" w:eastAsia="方正黑体"/>
          <w:sz w:val="32"/>
          <w:szCs w:val="32"/>
          <w:lang w:val="en-US" w:eastAsia="zh-CN"/>
        </w:rPr>
        <w:t>2</w:t>
      </w:r>
      <w:r>
        <w:rPr>
          <w:rFonts w:eastAsia="方正黑体"/>
          <w:sz w:val="32"/>
          <w:szCs w:val="32"/>
        </w:rPr>
        <w:t>：</w:t>
      </w:r>
    </w:p>
    <w:p w14:paraId="3C4B1AF8">
      <w:pPr>
        <w:spacing w:line="550" w:lineRule="exact"/>
        <w:ind w:firstLine="720" w:firstLineChars="200"/>
        <w:jc w:val="center"/>
        <w:rPr>
          <w:rFonts w:eastAsia="方正小标宋简体"/>
          <w:sz w:val="32"/>
          <w:szCs w:val="32"/>
        </w:rPr>
      </w:pPr>
      <w:bookmarkStart w:id="0" w:name="_GoBack"/>
      <w:r>
        <w:rPr>
          <w:rFonts w:hint="eastAsia" w:ascii="方正小标宋简体" w:eastAsia="方正小标宋简体"/>
          <w:color w:val="000000"/>
          <w:kern w:val="0"/>
          <w:sz w:val="36"/>
          <w:szCs w:val="32"/>
        </w:rPr>
        <w:t>“中试+”平台评分标准</w:t>
      </w:r>
      <w:r>
        <w:rPr>
          <w:rFonts w:eastAsia="方正小标宋简体"/>
          <w:color w:val="000000"/>
          <w:kern w:val="0"/>
          <w:sz w:val="36"/>
          <w:szCs w:val="32"/>
        </w:rPr>
        <w:t>（202</w:t>
      </w:r>
      <w:r>
        <w:rPr>
          <w:rFonts w:hint="eastAsia" w:eastAsia="方正小标宋简体"/>
          <w:color w:val="000000"/>
          <w:kern w:val="0"/>
          <w:sz w:val="36"/>
          <w:szCs w:val="32"/>
          <w:lang w:val="en-US" w:eastAsia="zh-CN"/>
        </w:rPr>
        <w:t>5</w:t>
      </w:r>
      <w:r>
        <w:rPr>
          <w:rFonts w:eastAsia="方正小标宋简体"/>
          <w:color w:val="000000"/>
          <w:kern w:val="0"/>
          <w:sz w:val="36"/>
          <w:szCs w:val="32"/>
        </w:rPr>
        <w:t>版）</w:t>
      </w:r>
      <w:bookmarkEnd w:id="0"/>
    </w:p>
    <w:tbl>
      <w:tblPr>
        <w:tblStyle w:val="3"/>
        <w:tblW w:w="146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850"/>
        <w:gridCol w:w="1843"/>
        <w:gridCol w:w="9427"/>
        <w:gridCol w:w="1134"/>
      </w:tblGrid>
      <w:tr w14:paraId="2387E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200" w:type="dxa"/>
            <w:gridSpan w:val="2"/>
            <w:noWrap w:val="0"/>
            <w:vAlign w:val="center"/>
          </w:tcPr>
          <w:p w14:paraId="63D1899A">
            <w:pPr>
              <w:spacing w:line="550" w:lineRule="exact"/>
              <w:jc w:val="center"/>
              <w:rPr>
                <w:rFonts w:eastAsia="方正黑体"/>
                <w:sz w:val="28"/>
                <w:szCs w:val="32"/>
              </w:rPr>
            </w:pPr>
            <w:r>
              <w:rPr>
                <w:rFonts w:eastAsia="方正黑体"/>
                <w:color w:val="000000"/>
                <w:kern w:val="0"/>
                <w:sz w:val="28"/>
              </w:rPr>
              <w:t>维度</w:t>
            </w:r>
          </w:p>
        </w:tc>
        <w:tc>
          <w:tcPr>
            <w:tcW w:w="1843" w:type="dxa"/>
            <w:noWrap w:val="0"/>
            <w:vAlign w:val="center"/>
          </w:tcPr>
          <w:p w14:paraId="06414738">
            <w:pPr>
              <w:spacing w:line="550" w:lineRule="exact"/>
              <w:jc w:val="center"/>
              <w:rPr>
                <w:rFonts w:eastAsia="方正黑体"/>
                <w:sz w:val="28"/>
                <w:szCs w:val="32"/>
              </w:rPr>
            </w:pPr>
            <w:r>
              <w:rPr>
                <w:rFonts w:eastAsia="方正黑体"/>
                <w:color w:val="000000"/>
                <w:kern w:val="0"/>
                <w:sz w:val="28"/>
              </w:rPr>
              <w:t>分值</w:t>
            </w:r>
          </w:p>
        </w:tc>
        <w:tc>
          <w:tcPr>
            <w:tcW w:w="9427" w:type="dxa"/>
            <w:noWrap w:val="0"/>
            <w:vAlign w:val="center"/>
          </w:tcPr>
          <w:p w14:paraId="7CCED754">
            <w:pPr>
              <w:spacing w:line="550" w:lineRule="exact"/>
              <w:jc w:val="center"/>
              <w:rPr>
                <w:rFonts w:eastAsia="方正黑体"/>
                <w:sz w:val="28"/>
                <w:szCs w:val="32"/>
              </w:rPr>
            </w:pPr>
            <w:r>
              <w:rPr>
                <w:rFonts w:eastAsia="方正黑体"/>
                <w:color w:val="000000"/>
                <w:kern w:val="0"/>
                <w:sz w:val="28"/>
              </w:rPr>
              <w:t>评分标准</w:t>
            </w:r>
          </w:p>
        </w:tc>
        <w:tc>
          <w:tcPr>
            <w:tcW w:w="1134" w:type="dxa"/>
            <w:noWrap w:val="0"/>
            <w:vAlign w:val="center"/>
          </w:tcPr>
          <w:p w14:paraId="277FDA90">
            <w:pPr>
              <w:spacing w:line="550" w:lineRule="exact"/>
              <w:jc w:val="center"/>
              <w:rPr>
                <w:rFonts w:eastAsia="方正黑体"/>
                <w:sz w:val="28"/>
                <w:szCs w:val="32"/>
              </w:rPr>
            </w:pPr>
            <w:r>
              <w:rPr>
                <w:rFonts w:eastAsia="方正黑体"/>
                <w:color w:val="000000"/>
                <w:kern w:val="0"/>
                <w:sz w:val="28"/>
              </w:rPr>
              <w:t>得分</w:t>
            </w:r>
          </w:p>
        </w:tc>
      </w:tr>
      <w:tr w14:paraId="00601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0" w:type="dxa"/>
            <w:vMerge w:val="restart"/>
            <w:noWrap w:val="0"/>
            <w:vAlign w:val="center"/>
          </w:tcPr>
          <w:p w14:paraId="1A883A36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t>基础项</w:t>
            </w: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br w:type="textWrapping"/>
            </w: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b/>
                <w:bCs/>
                <w:color w:val="000000"/>
                <w:kern w:val="0"/>
                <w:sz w:val="24"/>
              </w:rPr>
              <w:t>100</w:t>
            </w: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850" w:type="dxa"/>
            <w:vMerge w:val="restart"/>
            <w:noWrap w:val="0"/>
            <w:vAlign w:val="center"/>
          </w:tcPr>
          <w:p w14:paraId="14B9B727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链接资源</w:t>
            </w:r>
          </w:p>
        </w:tc>
        <w:tc>
          <w:tcPr>
            <w:tcW w:w="1843" w:type="dxa"/>
            <w:noWrap w:val="0"/>
            <w:vAlign w:val="center"/>
          </w:tcPr>
          <w:p w14:paraId="37F020D2">
            <w:pPr>
              <w:spacing w:line="480" w:lineRule="exact"/>
              <w:jc w:val="center"/>
              <w:rPr>
                <w:rFonts w:eastAsia="方正仿宋简体"/>
                <w:color w:val="000000"/>
                <w:kern w:val="0"/>
                <w:sz w:val="24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平台能力</w:t>
            </w:r>
          </w:p>
          <w:p w14:paraId="436D3077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color w:val="000000"/>
                <w:kern w:val="0"/>
                <w:sz w:val="24"/>
              </w:rPr>
              <w:t>20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9427" w:type="dxa"/>
            <w:noWrap w:val="0"/>
            <w:vAlign w:val="center"/>
          </w:tcPr>
          <w:p w14:paraId="0B81FC9D">
            <w:pPr>
              <w:spacing w:line="480" w:lineRule="exact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能制造出完整产品得</w:t>
            </w:r>
            <w:r>
              <w:rPr>
                <w:rFonts w:eastAsia="等线"/>
                <w:color w:val="000000"/>
                <w:kern w:val="0"/>
                <w:sz w:val="24"/>
              </w:rPr>
              <w:t>20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4440E260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  <w:tr w14:paraId="6F4D6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0" w:type="dxa"/>
            <w:vMerge w:val="continue"/>
            <w:noWrap w:val="0"/>
            <w:vAlign w:val="center"/>
          </w:tcPr>
          <w:p w14:paraId="119754F5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850" w:type="dxa"/>
            <w:vMerge w:val="continue"/>
            <w:noWrap w:val="0"/>
            <w:vAlign w:val="center"/>
          </w:tcPr>
          <w:p w14:paraId="3BC1B2C5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7198A201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等线"/>
                <w:color w:val="000000"/>
                <w:kern w:val="0"/>
                <w:sz w:val="24"/>
              </w:rPr>
              <w:t>“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中试</w:t>
            </w:r>
            <w:r>
              <w:rPr>
                <w:rFonts w:eastAsia="等线"/>
                <w:color w:val="000000"/>
                <w:kern w:val="0"/>
                <w:sz w:val="24"/>
              </w:rPr>
              <w:t>+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研发</w:t>
            </w:r>
            <w:r>
              <w:rPr>
                <w:rFonts w:eastAsia="等线"/>
                <w:color w:val="000000"/>
                <w:kern w:val="0"/>
                <w:sz w:val="24"/>
              </w:rPr>
              <w:t>”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color w:val="000000"/>
                <w:kern w:val="0"/>
                <w:sz w:val="24"/>
              </w:rPr>
              <w:t>20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9427" w:type="dxa"/>
            <w:noWrap w:val="0"/>
            <w:vAlign w:val="center"/>
          </w:tcPr>
          <w:p w14:paraId="331D6BE7">
            <w:pPr>
              <w:spacing w:line="480" w:lineRule="exact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有服务科创团队的案例得</w:t>
            </w:r>
            <w:r>
              <w:rPr>
                <w:rFonts w:eastAsia="等线"/>
                <w:color w:val="000000"/>
                <w:kern w:val="0"/>
                <w:sz w:val="24"/>
              </w:rPr>
              <w:t>15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分，每多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个案例再得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分，满分</w:t>
            </w:r>
            <w:r>
              <w:rPr>
                <w:rFonts w:eastAsia="等线"/>
                <w:color w:val="000000"/>
                <w:kern w:val="0"/>
                <w:sz w:val="24"/>
              </w:rPr>
              <w:t>20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29E8EF98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  <w:tr w14:paraId="77E67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0" w:type="dxa"/>
            <w:vMerge w:val="continue"/>
            <w:noWrap w:val="0"/>
            <w:vAlign w:val="center"/>
          </w:tcPr>
          <w:p w14:paraId="06ABA8AD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850" w:type="dxa"/>
            <w:vMerge w:val="restart"/>
            <w:noWrap w:val="0"/>
            <w:vAlign w:val="center"/>
          </w:tcPr>
          <w:p w14:paraId="7A8B036B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孵化企业</w:t>
            </w:r>
          </w:p>
        </w:tc>
        <w:tc>
          <w:tcPr>
            <w:tcW w:w="1843" w:type="dxa"/>
            <w:vMerge w:val="restart"/>
            <w:noWrap w:val="0"/>
            <w:vAlign w:val="center"/>
          </w:tcPr>
          <w:p w14:paraId="2F9E84DA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等线"/>
                <w:color w:val="000000"/>
                <w:kern w:val="0"/>
                <w:sz w:val="24"/>
              </w:rPr>
              <w:t>“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中试</w:t>
            </w:r>
            <w:r>
              <w:rPr>
                <w:rFonts w:eastAsia="等线"/>
                <w:color w:val="000000"/>
                <w:kern w:val="0"/>
                <w:sz w:val="24"/>
              </w:rPr>
              <w:t>+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孵化</w:t>
            </w:r>
            <w:r>
              <w:rPr>
                <w:rFonts w:eastAsia="等线"/>
                <w:color w:val="000000"/>
                <w:kern w:val="0"/>
                <w:sz w:val="24"/>
              </w:rPr>
              <w:t>”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color w:val="000000"/>
                <w:kern w:val="0"/>
                <w:sz w:val="24"/>
              </w:rPr>
              <w:t>25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9427" w:type="dxa"/>
            <w:noWrap w:val="0"/>
            <w:vAlign w:val="center"/>
          </w:tcPr>
          <w:p w14:paraId="7E0B2D5C">
            <w:pPr>
              <w:spacing w:line="480" w:lineRule="exact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有孵化企业的案例得</w:t>
            </w:r>
            <w:r>
              <w:rPr>
                <w:rFonts w:eastAsia="等线"/>
                <w:color w:val="000000"/>
                <w:kern w:val="0"/>
                <w:sz w:val="24"/>
              </w:rPr>
              <w:t>12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分，每多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个案例再得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分，满分</w:t>
            </w:r>
            <w:r>
              <w:rPr>
                <w:rFonts w:eastAsia="等线"/>
                <w:color w:val="000000"/>
                <w:kern w:val="0"/>
                <w:sz w:val="24"/>
              </w:rPr>
              <w:t>15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10BAAEC4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  <w:tr w14:paraId="03B2C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0" w:type="dxa"/>
            <w:vMerge w:val="continue"/>
            <w:noWrap w:val="0"/>
            <w:vAlign w:val="center"/>
          </w:tcPr>
          <w:p w14:paraId="73BFF0EC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850" w:type="dxa"/>
            <w:vMerge w:val="continue"/>
            <w:noWrap w:val="0"/>
            <w:vAlign w:val="center"/>
          </w:tcPr>
          <w:p w14:paraId="70CEC536">
            <w:pPr>
              <w:spacing w:line="480" w:lineRule="exact"/>
              <w:jc w:val="center"/>
              <w:rPr>
                <w:rFonts w:eastAsia="方正仿宋简体"/>
                <w:color w:val="000000"/>
                <w:kern w:val="0"/>
                <w:sz w:val="24"/>
              </w:rPr>
            </w:pPr>
          </w:p>
        </w:tc>
        <w:tc>
          <w:tcPr>
            <w:tcW w:w="1843" w:type="dxa"/>
            <w:vMerge w:val="continue"/>
            <w:noWrap w:val="0"/>
            <w:vAlign w:val="center"/>
          </w:tcPr>
          <w:p w14:paraId="7F342347">
            <w:pPr>
              <w:spacing w:line="480" w:lineRule="exact"/>
              <w:jc w:val="center"/>
              <w:rPr>
                <w:rFonts w:eastAsia="等线"/>
                <w:color w:val="000000"/>
                <w:kern w:val="0"/>
                <w:sz w:val="24"/>
              </w:rPr>
            </w:pPr>
          </w:p>
        </w:tc>
        <w:tc>
          <w:tcPr>
            <w:tcW w:w="9427" w:type="dxa"/>
            <w:noWrap w:val="0"/>
            <w:vAlign w:val="center"/>
          </w:tcPr>
          <w:p w14:paraId="4731A850">
            <w:pPr>
              <w:spacing w:line="480" w:lineRule="exact"/>
              <w:rPr>
                <w:rFonts w:eastAsia="方正仿宋简体"/>
                <w:color w:val="000000"/>
                <w:kern w:val="0"/>
                <w:sz w:val="24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有助力服务企业获得融资的案例得</w:t>
            </w:r>
            <w:r>
              <w:rPr>
                <w:rFonts w:eastAsia="等线"/>
                <w:color w:val="000000"/>
                <w:kern w:val="0"/>
                <w:sz w:val="24"/>
              </w:rPr>
              <w:t>8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分，每多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个案例再得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分，满分</w:t>
            </w:r>
            <w:r>
              <w:rPr>
                <w:rFonts w:eastAsia="等线"/>
                <w:color w:val="000000"/>
                <w:kern w:val="0"/>
                <w:sz w:val="24"/>
              </w:rPr>
              <w:t>10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55DD314A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  <w:tr w14:paraId="3E8D6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0" w:type="dxa"/>
            <w:vMerge w:val="continue"/>
            <w:noWrap w:val="0"/>
            <w:vAlign w:val="center"/>
          </w:tcPr>
          <w:p w14:paraId="6C3C0B35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850" w:type="dxa"/>
            <w:vMerge w:val="continue"/>
            <w:noWrap w:val="0"/>
            <w:vAlign w:val="center"/>
          </w:tcPr>
          <w:p w14:paraId="45823715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658BE75F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等线"/>
                <w:color w:val="000000"/>
                <w:kern w:val="0"/>
                <w:sz w:val="24"/>
              </w:rPr>
              <w:t>“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中试</w:t>
            </w:r>
            <w:r>
              <w:rPr>
                <w:rFonts w:eastAsia="等线"/>
                <w:color w:val="000000"/>
                <w:kern w:val="0"/>
                <w:sz w:val="24"/>
              </w:rPr>
              <w:t>+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基金</w:t>
            </w:r>
            <w:r>
              <w:rPr>
                <w:rFonts w:eastAsia="等线"/>
                <w:color w:val="000000"/>
                <w:kern w:val="0"/>
                <w:sz w:val="24"/>
              </w:rPr>
              <w:t>”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color w:val="000000"/>
                <w:kern w:val="0"/>
                <w:sz w:val="24"/>
              </w:rPr>
              <w:t>30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9427" w:type="dxa"/>
            <w:noWrap w:val="0"/>
            <w:vAlign w:val="center"/>
          </w:tcPr>
          <w:p w14:paraId="222BBE17">
            <w:pPr>
              <w:spacing w:line="480" w:lineRule="exact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平台或平台控股母公司、关联公司有成立基金或直接投资等投资中试项目所属公司案例（公司为区内企业）得</w:t>
            </w:r>
            <w:r>
              <w:rPr>
                <w:rFonts w:eastAsia="等线"/>
                <w:color w:val="000000"/>
                <w:kern w:val="0"/>
                <w:sz w:val="24"/>
              </w:rPr>
              <w:t>25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分，每多</w:t>
            </w:r>
            <w:r>
              <w:rPr>
                <w:rFonts w:eastAsia="等线"/>
                <w:color w:val="000000"/>
                <w:kern w:val="0"/>
                <w:sz w:val="24"/>
              </w:rPr>
              <w:t>1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个案例再得</w:t>
            </w:r>
            <w:r>
              <w:rPr>
                <w:rFonts w:eastAsia="等线"/>
                <w:color w:val="000000"/>
                <w:kern w:val="0"/>
                <w:sz w:val="24"/>
              </w:rPr>
              <w:t>2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分，满分</w:t>
            </w:r>
            <w:r>
              <w:rPr>
                <w:rFonts w:eastAsia="等线"/>
                <w:color w:val="000000"/>
                <w:kern w:val="0"/>
                <w:sz w:val="24"/>
              </w:rPr>
              <w:t>30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73B85CBA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  <w:tr w14:paraId="792AA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50" w:type="dxa"/>
            <w:vMerge w:val="continue"/>
            <w:noWrap w:val="0"/>
            <w:vAlign w:val="center"/>
          </w:tcPr>
          <w:p w14:paraId="45FA4FF9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850" w:type="dxa"/>
            <w:vMerge w:val="continue"/>
            <w:noWrap w:val="0"/>
            <w:vAlign w:val="center"/>
          </w:tcPr>
          <w:p w14:paraId="3A85FE05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  <w:tc>
          <w:tcPr>
            <w:tcW w:w="1843" w:type="dxa"/>
            <w:noWrap w:val="0"/>
            <w:vAlign w:val="center"/>
          </w:tcPr>
          <w:p w14:paraId="357A68F2">
            <w:pPr>
              <w:spacing w:line="480" w:lineRule="exact"/>
              <w:jc w:val="center"/>
              <w:rPr>
                <w:rFonts w:eastAsia="等线"/>
                <w:color w:val="000000"/>
                <w:kern w:val="0"/>
                <w:sz w:val="24"/>
              </w:rPr>
            </w:pPr>
            <w:r>
              <w:rPr>
                <w:rFonts w:eastAsia="等线"/>
                <w:color w:val="000000"/>
                <w:kern w:val="0"/>
                <w:sz w:val="24"/>
              </w:rPr>
              <w:t>“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中试</w:t>
            </w:r>
            <w:r>
              <w:rPr>
                <w:rFonts w:eastAsia="等线"/>
                <w:color w:val="000000"/>
                <w:kern w:val="0"/>
                <w:sz w:val="24"/>
              </w:rPr>
              <w:t>+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场景</w:t>
            </w:r>
            <w:r>
              <w:rPr>
                <w:rFonts w:eastAsia="等线"/>
                <w:color w:val="000000"/>
                <w:kern w:val="0"/>
                <w:sz w:val="24"/>
              </w:rPr>
              <w:t>”</w:t>
            </w:r>
          </w:p>
          <w:p w14:paraId="24858F8F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color w:val="000000"/>
                <w:kern w:val="0"/>
                <w:sz w:val="24"/>
              </w:rPr>
              <w:t>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9427" w:type="dxa"/>
            <w:noWrap w:val="0"/>
            <w:vAlign w:val="center"/>
          </w:tcPr>
          <w:p w14:paraId="3418204A">
            <w:pPr>
              <w:spacing w:line="480" w:lineRule="exact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有推动中试项目链接场景（含临床试验场景）并成功应用的案例得</w:t>
            </w:r>
            <w:r>
              <w:rPr>
                <w:rFonts w:eastAsia="等线"/>
                <w:color w:val="000000"/>
                <w:kern w:val="0"/>
                <w:sz w:val="24"/>
              </w:rPr>
              <w:t>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4C9CDD2C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  <w:tr w14:paraId="45E00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00" w:type="dxa"/>
            <w:gridSpan w:val="2"/>
            <w:noWrap w:val="0"/>
            <w:vAlign w:val="center"/>
          </w:tcPr>
          <w:p w14:paraId="6983AC23">
            <w:pPr>
              <w:spacing w:line="480" w:lineRule="exact"/>
              <w:jc w:val="center"/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t>加分项</w:t>
            </w:r>
          </w:p>
          <w:p w14:paraId="183512AD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t>（</w:t>
            </w:r>
            <w:r>
              <w:rPr>
                <w:rFonts w:eastAsia="等线"/>
                <w:b/>
                <w:bCs/>
                <w:color w:val="000000"/>
                <w:kern w:val="0"/>
                <w:sz w:val="24"/>
              </w:rPr>
              <w:t>20</w:t>
            </w:r>
            <w:r>
              <w:rPr>
                <w:rFonts w:eastAsia="方正仿宋简体"/>
                <w:b/>
                <w:bCs/>
                <w:color w:val="000000"/>
                <w:kern w:val="0"/>
                <w:sz w:val="24"/>
              </w:rPr>
              <w:t>分）</w:t>
            </w:r>
          </w:p>
        </w:tc>
        <w:tc>
          <w:tcPr>
            <w:tcW w:w="1843" w:type="dxa"/>
            <w:noWrap w:val="0"/>
            <w:vAlign w:val="center"/>
          </w:tcPr>
          <w:p w14:paraId="24A0BEFB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平台能级</w:t>
            </w:r>
          </w:p>
        </w:tc>
        <w:tc>
          <w:tcPr>
            <w:tcW w:w="9427" w:type="dxa"/>
            <w:noWrap w:val="0"/>
            <w:vAlign w:val="center"/>
          </w:tcPr>
          <w:p w14:paraId="4F3766BD">
            <w:pPr>
              <w:spacing w:line="480" w:lineRule="exact"/>
              <w:rPr>
                <w:rFonts w:eastAsia="方正黑体"/>
                <w:sz w:val="32"/>
                <w:szCs w:val="32"/>
              </w:rPr>
            </w:pPr>
            <w:r>
              <w:rPr>
                <w:rFonts w:eastAsia="方正仿宋简体"/>
                <w:color w:val="000000"/>
                <w:kern w:val="0"/>
                <w:sz w:val="24"/>
              </w:rPr>
              <w:t>平台获国家级认定的得</w:t>
            </w:r>
            <w:r>
              <w:rPr>
                <w:rFonts w:eastAsia="等线"/>
                <w:color w:val="000000"/>
                <w:kern w:val="0"/>
                <w:sz w:val="24"/>
              </w:rPr>
              <w:t>20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分，纳入部委名录的得</w:t>
            </w:r>
            <w:r>
              <w:rPr>
                <w:rFonts w:eastAsia="等线"/>
                <w:color w:val="000000"/>
                <w:kern w:val="0"/>
                <w:sz w:val="24"/>
              </w:rPr>
              <w:t>15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分，获省级认定得</w:t>
            </w:r>
            <w:r>
              <w:rPr>
                <w:rFonts w:eastAsia="等线"/>
                <w:color w:val="000000"/>
                <w:kern w:val="0"/>
                <w:sz w:val="24"/>
              </w:rPr>
              <w:t>10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分，获市级认定得</w:t>
            </w:r>
            <w:r>
              <w:rPr>
                <w:rFonts w:eastAsia="等线"/>
                <w:color w:val="000000"/>
                <w:kern w:val="0"/>
                <w:sz w:val="24"/>
              </w:rPr>
              <w:t>8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分，区级认定得</w:t>
            </w:r>
            <w:r>
              <w:rPr>
                <w:rFonts w:eastAsia="等线"/>
                <w:color w:val="000000"/>
                <w:kern w:val="0"/>
                <w:sz w:val="24"/>
              </w:rPr>
              <w:t>5</w:t>
            </w:r>
            <w:r>
              <w:rPr>
                <w:rFonts w:eastAsia="方正仿宋简体"/>
                <w:color w:val="000000"/>
                <w:kern w:val="0"/>
                <w:sz w:val="24"/>
              </w:rPr>
              <w:t>分。</w:t>
            </w:r>
          </w:p>
        </w:tc>
        <w:tc>
          <w:tcPr>
            <w:tcW w:w="1134" w:type="dxa"/>
            <w:noWrap w:val="0"/>
            <w:vAlign w:val="center"/>
          </w:tcPr>
          <w:p w14:paraId="39F4B7EA">
            <w:pPr>
              <w:spacing w:line="480" w:lineRule="exact"/>
              <w:jc w:val="center"/>
              <w:rPr>
                <w:rFonts w:eastAsia="方正黑体"/>
                <w:sz w:val="32"/>
                <w:szCs w:val="32"/>
              </w:rPr>
            </w:pPr>
          </w:p>
        </w:tc>
      </w:tr>
    </w:tbl>
    <w:p w14:paraId="7A6541E4">
      <w:pPr>
        <w:spacing w:line="550" w:lineRule="exact"/>
        <w:rPr>
          <w:rFonts w:eastAsia="方正仿宋"/>
          <w:sz w:val="32"/>
          <w:szCs w:val="32"/>
          <w:shd w:val="clear" w:color="auto" w:fill="FFFFFF"/>
        </w:rPr>
        <w:sectPr>
          <w:pgSz w:w="16838" w:h="11906" w:orient="landscape"/>
          <w:pgMar w:top="1531" w:right="1928" w:bottom="1474" w:left="1247" w:header="851" w:footer="992" w:gutter="0"/>
          <w:pgNumType w:fmt="numberInDash"/>
          <w:cols w:space="720" w:num="1"/>
          <w:docGrid w:type="lines" w:linePitch="312" w:charSpace="0"/>
        </w:sectPr>
      </w:pPr>
    </w:p>
    <w:p w14:paraId="4357159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A6578"/>
    <w:rsid w:val="373A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2026-03-26T01:41:00Z</dcterms:created>
  <dc:creator>落花时节又逢君</dc:creator>
  <cp:lastModifiedBy>落花时节又逢君</cp:lastModifiedBy>
  <cp:lastPrinted>2026-03-26T01:43:06Z</cp:lastPrinted>
  <dcterms:modified xsi:type="dcterms:W3CDTF">2026-03-26T01:43:59Z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D9FDABA90D684691A17E6B9A51582155_11</vt:lpwstr>
  </property>
  <property fmtid="{D5CDD505-2E9C-101B-9397-08002B2CF9AE}" pid="4" name="KSOTemplateDocerSaveRecord">
    <vt:lpwstr>eyJoZGlkIjoiNTk2ZWY3MTc5NjhlNjExYTc4NjM0MDFjODExOGY3MzYiLCJ1c2VySWQiOiIzNDA0NzUxMDIifQ==</vt:lpwstr>
  </property>
</Properties>
</file>