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ind w:left="0" w:leftChars="0" w:firstLine="0" w:firstLineChars="0"/>
        <w:rPr>
          <w:rFonts w:hint="eastAsia" w:ascii="方正黑体_GBK" w:hAnsi="方正黑体_GBK" w:eastAsia="方正黑体_GBK" w:cs="方正黑体_GBK"/>
          <w:b w:val="0"/>
          <w:bCs w:val="0"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color w:val="000000"/>
          <w:sz w:val="32"/>
          <w:szCs w:val="32"/>
          <w:highlight w:val="none"/>
          <w:lang w:val="en-US" w:eastAsia="zh-CN"/>
        </w:rPr>
        <w:t>附件</w:t>
      </w:r>
    </w:p>
    <w:p>
      <w:pPr>
        <w:pStyle w:val="2"/>
        <w:ind w:left="0" w:leftChars="0" w:firstLine="0" w:firstLineChars="0"/>
        <w:rPr>
          <w:rFonts w:hint="eastAsia"/>
          <w:lang w:val="en-US" w:eastAsia="zh-CN"/>
        </w:rPr>
      </w:pPr>
    </w:p>
    <w:p>
      <w:pPr>
        <w:spacing w:line="579" w:lineRule="exact"/>
        <w:jc w:val="center"/>
        <w:rPr>
          <w:rFonts w:hint="default" w:ascii="Times New Roman" w:hAnsi="Times New Roman" w:eastAsia="黑体" w:cs="Times New Roman"/>
          <w:color w:val="auto"/>
          <w:sz w:val="44"/>
          <w:szCs w:val="44"/>
          <w:highlight w:val="none"/>
          <w:lang w:eastAsia="zh-CN"/>
        </w:rPr>
      </w:pPr>
      <w:r>
        <w:rPr>
          <w:rFonts w:hint="default" w:ascii="Times New Roman" w:hAnsi="Times New Roman" w:eastAsia="黑体" w:cs="Times New Roman"/>
          <w:color w:val="auto"/>
          <w:sz w:val="44"/>
          <w:szCs w:val="44"/>
          <w:highlight w:val="none"/>
          <w:lang w:eastAsia="zh-CN"/>
        </w:rPr>
        <w:t>成都市科技</w:t>
      </w:r>
      <w:r>
        <w:rPr>
          <w:rFonts w:hint="eastAsia" w:ascii="Times New Roman" w:hAnsi="Times New Roman" w:eastAsia="黑体" w:cs="Times New Roman"/>
          <w:color w:val="auto"/>
          <w:sz w:val="44"/>
          <w:szCs w:val="44"/>
          <w:highlight w:val="none"/>
          <w:lang w:val="en-US" w:eastAsia="zh-CN"/>
        </w:rPr>
        <w:t>人才培育项目</w:t>
      </w:r>
      <w:r>
        <w:rPr>
          <w:rFonts w:hint="default" w:ascii="Times New Roman" w:hAnsi="Times New Roman" w:eastAsia="黑体" w:cs="Times New Roman"/>
          <w:color w:val="auto"/>
          <w:sz w:val="44"/>
          <w:szCs w:val="44"/>
          <w:highlight w:val="none"/>
          <w:lang w:eastAsia="zh-CN"/>
        </w:rPr>
        <w:t>资助管理办法</w:t>
      </w:r>
    </w:p>
    <w:p>
      <w:pPr>
        <w:spacing w:line="579" w:lineRule="exact"/>
        <w:jc w:val="center"/>
        <w:rPr>
          <w:rFonts w:hint="eastAsia" w:ascii="方正楷体简体" w:hAnsi="方正楷体简体" w:eastAsia="方正楷体简体" w:cs="方正楷体简体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方正楷体简体" w:hAnsi="方正楷体简体" w:eastAsia="方正楷体简体" w:cs="方正楷体简体"/>
          <w:color w:val="auto"/>
          <w:sz w:val="28"/>
          <w:szCs w:val="28"/>
          <w:highlight w:val="none"/>
          <w:lang w:eastAsia="zh-CN"/>
        </w:rPr>
        <w:t>（征求意见稿）</w:t>
      </w:r>
    </w:p>
    <w:p>
      <w:pPr>
        <w:pStyle w:val="2"/>
        <w:rPr>
          <w:rFonts w:hint="default"/>
          <w:lang w:eastAsia="zh-CN"/>
        </w:rPr>
      </w:pPr>
      <w:bookmarkStart w:id="1" w:name="_GoBack"/>
      <w:bookmarkEnd w:id="1"/>
    </w:p>
    <w:p>
      <w:pPr>
        <w:spacing w:line="579" w:lineRule="exact"/>
        <w:jc w:val="center"/>
        <w:rPr>
          <w:rFonts w:hint="default" w:ascii="Times New Roman" w:hAnsi="Times New Roman" w:eastAsia="黑体" w:cs="Times New Roman"/>
          <w:color w:val="000000" w:themeColor="text1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color w:val="000000" w:themeColor="text1"/>
          <w:sz w:val="32"/>
          <w:szCs w:val="32"/>
          <w:highlight w:val="none"/>
          <w:lang w:val="en-US" w:eastAsia="zh-CN"/>
        </w:rPr>
        <w:t>第一章 总  则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720"/>
        </w:tabs>
        <w:spacing w:before="0" w:beforeAutospacing="0" w:after="0" w:afterAutospacing="0" w:line="579" w:lineRule="exact"/>
        <w:ind w:left="0" w:right="0" w:firstLine="0"/>
        <w:textAlignment w:val="baseline"/>
        <w:rPr>
          <w:rFonts w:hint="default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tabs>
          <w:tab w:val="left" w:pos="640"/>
          <w:tab w:val="left" w:pos="720"/>
          <w:tab w:val="left" w:pos="1900"/>
        </w:tabs>
        <w:spacing w:before="0" w:beforeAutospacing="0" w:after="0" w:afterAutospacing="0" w:line="579" w:lineRule="exact"/>
        <w:ind w:left="0" w:right="0" w:firstLine="640" w:firstLineChars="200"/>
        <w:textAlignment w:val="baseline"/>
        <w:rPr>
          <w:rFonts w:hint="default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</w:pPr>
      <w:r>
        <w:rPr>
          <w:rFonts w:hint="eastAsia" w:ascii="方正楷体简体" w:hAnsi="方正楷体简体" w:eastAsia="方正楷体简体" w:cs="方正楷体简体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第一条  目的依据</w:t>
      </w: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 xml:space="preserve">  根据国、省关于加强青年科技人才培养和使用的相关政策措施，以及《成都市加快建设国家吸引集聚人才平台十条政策》（成委厅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</w:rPr>
        <w:t>〔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  <w:lang w:val="en-US" w:eastAsia="zh-CN"/>
        </w:rPr>
        <w:t>2025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</w:rPr>
        <w:t>〕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  <w:lang w:val="en-US" w:eastAsia="zh-CN"/>
        </w:rPr>
        <w:t>27号</w:t>
      </w: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），为深入实施人才强市战略，加快建设国家吸引集聚人才平台，引育一批青年科技人才，激活高校、科研院所等企事业单位科技人才创新动能，特制定本办法。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9" w:lineRule="exact"/>
        <w:ind w:left="0" w:leftChars="0" w:right="0" w:rightChars="0" w:firstLine="640" w:firstLineChars="200"/>
        <w:textAlignment w:val="baseline"/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</w:pPr>
      <w:r>
        <w:rPr>
          <w:rFonts w:hint="eastAsia" w:ascii="方正楷体简体" w:hAnsi="方正楷体简体" w:eastAsia="方正楷体简体" w:cs="方正楷体简体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第二条  功能作用。</w:t>
      </w:r>
      <w:r>
        <w:rPr>
          <w:rFonts w:hint="default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本办法</w:t>
      </w: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所称成都市科技人才培育项目，是指为培育青年科技人才、引导高校院所科技人才创新创业而实施的科技计划项目。分为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</w:rPr>
        <w:t>博（硕）士培养项目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  <w:lang w:eastAsia="zh-CN"/>
        </w:rPr>
        <w:t>、</w:t>
      </w: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青年科技人才培养项目、“科技副总”项目、高校院所科技人才创业项目等4个类别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  <w:lang w:eastAsia="zh-CN"/>
        </w:rPr>
        <w:t>。</w:t>
      </w:r>
    </w:p>
    <w:p>
      <w:pPr>
        <w:widowControl/>
        <w:numPr>
          <w:ilvl w:val="0"/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579" w:lineRule="exact"/>
        <w:ind w:firstLine="640"/>
        <w:textAlignment w:val="baseline"/>
        <w:rPr>
          <w:rFonts w:hint="default"/>
          <w:lang w:val="en-US" w:eastAsia="zh-CN"/>
        </w:rPr>
      </w:pPr>
      <w:r>
        <w:rPr>
          <w:rFonts w:hint="eastAsia" w:ascii="方正楷体简体" w:hAnsi="方正楷体简体" w:eastAsia="方正楷体简体" w:cs="方正楷体简体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第三条  支持方式</w:t>
      </w: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。根据项目类别，采取前资助或后补助的支持方式，项目经费纳入市级财政科技项目专项资金保障。前资助项目经费由项目单位按合同约定规范使用，相关经费管理实行“包干+负面清单”制。后补助项目经费由项目单位统筹安排。</w:t>
      </w:r>
    </w:p>
    <w:p>
      <w:pPr>
        <w:widowControl/>
        <w:numPr>
          <w:ilvl w:val="0"/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579" w:lineRule="exact"/>
        <w:ind w:left="630"/>
        <w:jc w:val="left"/>
        <w:textAlignment w:val="baseline"/>
        <w:rPr>
          <w:rFonts w:hint="default" w:ascii="Times New Roman" w:hAnsi="Times New Roman" w:eastAsia="黑体" w:cs="Times New Roman"/>
          <w:color w:val="000000" w:themeColor="text1"/>
          <w:sz w:val="32"/>
          <w:szCs w:val="32"/>
          <w:highlight w:val="none"/>
          <w:lang w:val="en-US" w:eastAsia="zh-CN"/>
        </w:rPr>
      </w:pPr>
    </w:p>
    <w:p>
      <w:pPr>
        <w:numPr>
          <w:ilvl w:val="-1"/>
          <w:numId w:val="0"/>
        </w:numPr>
        <w:spacing w:line="579" w:lineRule="exact"/>
        <w:ind w:left="0" w:firstLine="0" w:firstLineChars="0"/>
        <w:jc w:val="center"/>
        <w:rPr>
          <w:rFonts w:hint="default" w:ascii="黑体" w:hAnsi="黑体" w:eastAsia="黑体" w:cs="黑体"/>
          <w:color w:val="000000" w:themeColor="text1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:highlight w:val="none"/>
          <w:lang w:eastAsia="zh-CN"/>
        </w:rPr>
        <w:t>第二章</w:t>
      </w:r>
      <w:r>
        <w:rPr>
          <w:rFonts w:hint="eastAsia" w:ascii="黑体" w:hAnsi="黑体" w:eastAsia="黑体" w:cs="黑体"/>
          <w:color w:val="000000" w:themeColor="text1"/>
          <w:sz w:val="32"/>
          <w:szCs w:val="32"/>
          <w:highlight w:val="none"/>
          <w:lang w:val="en-US" w:eastAsia="zh-CN"/>
        </w:rPr>
        <w:t xml:space="preserve">  项目类别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9" w:lineRule="exact"/>
        <w:ind w:right="0" w:rightChars="0" w:firstLine="640" w:firstLineChars="200"/>
        <w:textAlignment w:val="baseline"/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9" w:lineRule="exact"/>
        <w:ind w:left="0" w:leftChars="0" w:right="0" w:rightChars="0" w:firstLine="640" w:firstLineChars="200"/>
        <w:jc w:val="both"/>
        <w:textAlignment w:val="baseline"/>
        <w:rPr>
          <w:rFonts w:hint="eastAsia" w:ascii="方正楷体简体" w:hAnsi="方正楷体简体" w:eastAsia="方正楷体简体" w:cs="方正楷体简体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</w:pPr>
      <w:r>
        <w:rPr>
          <w:rFonts w:hint="eastAsia" w:ascii="方正楷体简体" w:hAnsi="方正楷体简体" w:eastAsia="方正楷体简体" w:cs="方正楷体简体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第四条  博（硕）士培养项目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9" w:lineRule="exact"/>
        <w:ind w:left="0" w:leftChars="0" w:right="0" w:rightChars="0" w:firstLine="0" w:firstLineChars="0"/>
        <w:textAlignment w:val="baseline"/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 xml:space="preserve">    （一）  功能定位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9" w:lineRule="exact"/>
        <w:ind w:left="0" w:leftChars="0" w:right="0" w:rightChars="0" w:firstLine="640" w:firstLineChars="200"/>
        <w:textAlignment w:val="baseline"/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为在蓉企业培养科技人才，支持在职科技人才聚焦企业主营业务提升学术、技术能力，促进产业高质量发展。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9" w:lineRule="exact"/>
        <w:ind w:left="0" w:leftChars="0" w:right="0" w:rightChars="0" w:firstLine="640" w:firstLineChars="0"/>
        <w:textAlignment w:val="baseline"/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（二）  支持对象和原则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9" w:lineRule="exact"/>
        <w:ind w:left="0" w:leftChars="0" w:right="0" w:rightChars="0" w:firstLine="640" w:firstLineChars="0"/>
        <w:textAlignment w:val="baseline"/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1.  申报人报考学校（院所）为成都市国内“双一流”建设高校、在蓉科研院所，报考时须为在蓉科技型企业全职人员。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9" w:lineRule="exact"/>
        <w:ind w:left="0" w:leftChars="0" w:right="0" w:rightChars="0" w:firstLine="640" w:firstLineChars="0"/>
        <w:textAlignment w:val="baseline"/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2.  申报人在申报当年取得理、工、农、医类博（硕）士学历和学位证书。且申报时已在依托申报单位工作满1年。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9" w:lineRule="exact"/>
        <w:ind w:left="0" w:leftChars="0" w:right="0" w:rightChars="0" w:firstLine="640" w:firstLineChars="0"/>
        <w:textAlignment w:val="baseline"/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（三）  支持方式和标准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9" w:lineRule="exact"/>
        <w:ind w:left="0" w:leftChars="0" w:right="0" w:rightChars="0" w:firstLine="640" w:firstLineChars="200"/>
        <w:textAlignment w:val="baseline"/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</w:rPr>
        <w:t>采用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  <w:lang w:eastAsia="zh-CN"/>
        </w:rPr>
        <w:t>后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  <w:lang w:val="en-US" w:eastAsia="zh-CN"/>
        </w:rPr>
        <w:t>补助方式，经审核合格的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</w:rPr>
        <w:t>给予</w:t>
      </w: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已缴纳学费的50%、最高不超过10万元一次性资金补贴。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9" w:lineRule="exact"/>
        <w:ind w:right="0" w:rightChars="0" w:firstLine="640" w:firstLineChars="200"/>
        <w:textAlignment w:val="baseline"/>
        <w:rPr>
          <w:rFonts w:hint="eastAsia" w:ascii="方正楷体简体" w:hAnsi="方正楷体简体" w:eastAsia="方正楷体简体" w:cs="方正楷体简体"/>
          <w:color w:val="000000" w:themeColor="text1"/>
          <w:sz w:val="32"/>
          <w:szCs w:val="32"/>
          <w:highlight w:val="none"/>
        </w:rPr>
      </w:pPr>
      <w:r>
        <w:rPr>
          <w:rFonts w:hint="eastAsia" w:ascii="方正楷体简体" w:hAnsi="方正楷体简体" w:eastAsia="方正楷体简体" w:cs="方正楷体简体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 xml:space="preserve">第五条  </w:t>
      </w:r>
      <w:r>
        <w:rPr>
          <w:rFonts w:hint="eastAsia" w:ascii="方正楷体简体" w:hAnsi="方正楷体简体" w:eastAsia="方正楷体简体" w:cs="方正楷体简体"/>
          <w:color w:val="000000" w:themeColor="text1"/>
          <w:sz w:val="32"/>
          <w:szCs w:val="32"/>
          <w:highlight w:val="none"/>
        </w:rPr>
        <w:t>青年科技人才</w:t>
      </w:r>
      <w:r>
        <w:rPr>
          <w:rFonts w:hint="eastAsia" w:ascii="方正楷体简体" w:hAnsi="方正楷体简体" w:eastAsia="方正楷体简体" w:cs="方正楷体简体"/>
          <w:color w:val="000000" w:themeColor="text1"/>
          <w:sz w:val="32"/>
          <w:szCs w:val="32"/>
          <w:highlight w:val="none"/>
          <w:lang w:val="en-US" w:eastAsia="zh-CN"/>
        </w:rPr>
        <w:t>培养</w:t>
      </w:r>
      <w:r>
        <w:rPr>
          <w:rFonts w:hint="eastAsia" w:ascii="方正楷体简体" w:hAnsi="方正楷体简体" w:eastAsia="方正楷体简体" w:cs="方正楷体简体"/>
          <w:color w:val="000000" w:themeColor="text1"/>
          <w:sz w:val="32"/>
          <w:szCs w:val="32"/>
          <w:highlight w:val="none"/>
        </w:rPr>
        <w:t>项目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9" w:lineRule="exact"/>
        <w:ind w:right="0" w:rightChars="0" w:firstLine="640" w:firstLineChars="200"/>
        <w:textAlignment w:val="baseline"/>
        <w:rPr>
          <w:rFonts w:hint="default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（一）  功能定位</w:t>
      </w:r>
    </w:p>
    <w:p>
      <w:pPr>
        <w:widowControl/>
        <w:numPr>
          <w:ilvl w:val="0"/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579" w:lineRule="exact"/>
        <w:ind w:firstLine="640" w:firstLineChars="200"/>
        <w:textAlignment w:val="baseline"/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支持在蓉企事业单位的青年科技人才聚焦成都市现代产业体系，开展需求导向的产业化研究，面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</w:rPr>
        <w:t>向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  <w:lang w:val="en-US" w:eastAsia="zh-CN"/>
        </w:rPr>
        <w:t>重点产业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</w:rPr>
        <w:t>开展关键核心技术攻关，培养一批“懂学术、懂产业”的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  <w:lang w:eastAsia="zh-CN"/>
        </w:rPr>
        <w:t>高校院所青年科技人才和深耕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  <w:lang w:val="en-US" w:eastAsia="zh-CN"/>
        </w:rPr>
        <w:t>企业技术研发一线的技术骨干和专家。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9" w:lineRule="exact"/>
        <w:ind w:left="0" w:leftChars="0" w:right="0" w:rightChars="0" w:firstLine="640" w:firstLineChars="200"/>
        <w:textAlignment w:val="baseline"/>
        <w:rPr>
          <w:rFonts w:hint="default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（二）  支持对象和原则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9" w:lineRule="exact"/>
        <w:ind w:left="0" w:leftChars="0" w:right="0" w:rightChars="0" w:firstLine="640" w:firstLineChars="200"/>
        <w:textAlignment w:val="baseline"/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1. 申报人为在蓉企业、高校、科研院所、医疗卫生机构等企事业单位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  <w:lang w:eastAsia="zh-CN"/>
        </w:rPr>
        <w:t>的</w:t>
      </w: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全职青年科技人才。其中，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  <w:lang w:val="en-US" w:eastAsia="zh-CN"/>
        </w:rPr>
        <w:t>申报人所在单位为</w:t>
      </w: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企业的，</w:t>
      </w: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u w:val="none"/>
          <w:lang w:val="en-US" w:eastAsia="zh-CN"/>
        </w:rPr>
        <w:t>该企业应具有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  <w:u w:val="none"/>
        </w:rPr>
        <w:t>市级以上（含）行业主管部门批准、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  <w:u w:val="none"/>
          <w:lang w:eastAsia="zh-CN"/>
        </w:rPr>
        <w:t>组建的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  <w:u w:val="none"/>
          <w:lang w:val="en-US" w:eastAsia="zh-CN"/>
        </w:rPr>
        <w:t>各类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  <w:u w:val="none"/>
        </w:rPr>
        <w:t>创新平台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  <w:u w:val="none"/>
          <w:lang w:val="en-US" w:eastAsia="zh-CN"/>
        </w:rPr>
        <w:t>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9" w:lineRule="exact"/>
        <w:ind w:left="0" w:leftChars="0" w:right="0" w:rightChars="0" w:firstLine="640" w:firstLineChars="200"/>
        <w:textAlignment w:val="baseline"/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  <w:lang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2. 申报人年龄不超过35周岁（女性可放宽至37周岁）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  <w:lang w:eastAsia="zh-CN"/>
        </w:rPr>
        <w:t>。</w:t>
      </w:r>
    </w:p>
    <w:p>
      <w:pPr>
        <w:pStyle w:val="2"/>
        <w:spacing w:line="579" w:lineRule="exact"/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  <w:lang w:val="en-US" w:eastAsia="zh-CN"/>
        </w:rPr>
        <w:t xml:space="preserve">3. </w:t>
      </w: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申报人应具备博士学位或硕士毕业4年（含）以上，未获得过市级（含）以上重大人才计划。</w:t>
      </w:r>
    </w:p>
    <w:p>
      <w:pPr>
        <w:pStyle w:val="2"/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  <w:lang w:eastAsia="zh-CN"/>
        </w:rPr>
        <w:t>（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  <w:lang w:val="en-US" w:eastAsia="zh-CN"/>
        </w:rPr>
        <w:t>三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  <w:lang w:eastAsia="zh-CN"/>
        </w:rPr>
        <w:t>）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</w:rPr>
        <w:t>支持方式和标准</w:t>
      </w:r>
    </w:p>
    <w:p>
      <w:pPr>
        <w:widowControl/>
        <w:numPr>
          <w:ilvl w:val="0"/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579" w:lineRule="exact"/>
        <w:ind w:firstLine="640" w:firstLineChars="200"/>
        <w:textAlignment w:val="baseline"/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申报人使用在研或拟研的产业化科研项目的方式进行申报。</w:t>
      </w:r>
    </w:p>
    <w:p>
      <w:pPr>
        <w:widowControl/>
        <w:numPr>
          <w:ilvl w:val="0"/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579" w:lineRule="exact"/>
        <w:ind w:firstLine="640" w:firstLineChars="200"/>
        <w:textAlignment w:val="baseline"/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</w:rPr>
      </w:pP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  <w:lang w:val="en-US" w:eastAsia="zh-CN"/>
        </w:rPr>
        <w:t xml:space="preserve">1. 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</w:rPr>
        <w:t>采用前资助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  <w:lang w:val="en-US" w:eastAsia="zh-CN"/>
        </w:rPr>
        <w:t>方式，以科研项目的形式进行申报，择优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</w:rPr>
        <w:t>给予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  <w:lang w:val="en-US" w:eastAsia="zh-CN"/>
        </w:rPr>
        <w:t>一次性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</w:rPr>
        <w:t>10万元经费支持，项目执行期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  <w:lang w:eastAsia="zh-CN"/>
        </w:rPr>
        <w:t>一般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</w:rPr>
        <w:t>不超过2年。</w:t>
      </w:r>
    </w:p>
    <w:p>
      <w:pPr>
        <w:widowControl/>
        <w:numPr>
          <w:ilvl w:val="0"/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579" w:lineRule="exact"/>
        <w:ind w:firstLine="640" w:firstLineChars="200"/>
        <w:jc w:val="left"/>
        <w:textAlignment w:val="baseline"/>
        <w:rPr>
          <w:rFonts w:hint="eastAsia" w:ascii="方正楷体简体" w:hAnsi="方正楷体简体" w:eastAsia="方正楷体简体" w:cs="方正楷体简体"/>
          <w:color w:val="000000" w:themeColor="text1"/>
          <w:sz w:val="32"/>
          <w:szCs w:val="32"/>
          <w:highlight w:val="none"/>
        </w:rPr>
      </w:pPr>
      <w:r>
        <w:rPr>
          <w:rFonts w:hint="eastAsia" w:ascii="方正楷体简体" w:hAnsi="方正楷体简体" w:eastAsia="方正楷体简体" w:cs="方正楷体简体"/>
          <w:color w:val="000000" w:themeColor="text1"/>
          <w:sz w:val="32"/>
          <w:szCs w:val="32"/>
          <w:highlight w:val="none"/>
          <w:lang w:val="en-US" w:eastAsia="zh-CN"/>
        </w:rPr>
        <w:t>第六条</w:t>
      </w:r>
      <w:r>
        <w:rPr>
          <w:rFonts w:hint="eastAsia" w:ascii="方正楷体简体" w:hAnsi="方正楷体简体" w:eastAsia="方正楷体简体" w:cs="方正楷体简体"/>
          <w:color w:val="000000" w:themeColor="text1"/>
          <w:sz w:val="32"/>
          <w:szCs w:val="32"/>
          <w:highlight w:val="none"/>
        </w:rPr>
        <w:t>“科技副总”项目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9" w:lineRule="exact"/>
        <w:ind w:left="0" w:leftChars="0" w:right="0" w:rightChars="0" w:firstLine="640" w:firstLineChars="200"/>
        <w:textAlignment w:val="baseline"/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（一）  功能定位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9" w:lineRule="exact"/>
        <w:ind w:left="0" w:leftChars="0" w:right="0" w:rightChars="0" w:firstLine="640" w:firstLineChars="200"/>
        <w:textAlignment w:val="baseline"/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</w:rPr>
        <w:t>聚焦成都市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  <w:lang w:eastAsia="zh-CN"/>
        </w:rPr>
        <w:t>现代产业体系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</w:rPr>
        <w:t>高质量发展需求，支持高校院所等事业单位专业技术人才到企业担任“科技副总”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  <w:lang w:eastAsia="zh-CN"/>
        </w:rPr>
        <w:t>，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  <w:lang w:val="en-US" w:eastAsia="zh-CN"/>
        </w:rPr>
        <w:t>开展联合技术攻关、成果转化等合作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</w:rPr>
        <w:t>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9" w:lineRule="exact"/>
        <w:ind w:left="0" w:leftChars="0" w:right="0" w:rightChars="0" w:firstLine="640" w:firstLineChars="200"/>
        <w:textAlignment w:val="baseline"/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（二）  支持对象和原则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9" w:lineRule="exact"/>
        <w:ind w:left="0" w:leftChars="0" w:right="0" w:rightChars="0" w:firstLine="640" w:firstLineChars="200"/>
        <w:textAlignment w:val="baseline"/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1. 申报人应为</w:t>
      </w:r>
      <w:r>
        <w:rPr>
          <w:rFonts w:hint="default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国内高等学校、科研院所、医疗卫生机构等事业单位</w:t>
      </w: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的全职专业技术人员。申报单位为申报人所服务（合作）的企业。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right w:val="none" w:color="auto" w:sz="0" w:space="0"/>
        </w:pBdr>
        <w:spacing w:before="0" w:beforeAutospacing="0" w:after="0" w:afterAutospacing="0" w:line="579" w:lineRule="exact"/>
        <w:ind w:left="0" w:leftChars="0" w:right="0" w:rightChars="0" w:firstLine="640" w:firstLineChars="200"/>
        <w:textAlignment w:val="baseline"/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kern w:val="2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2. 截止申报时，申报人</w:t>
      </w:r>
      <w:r>
        <w:rPr>
          <w:rFonts w:hint="default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与企业合作时间不低</w:t>
      </w: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于1</w:t>
      </w:r>
      <w:r>
        <w:rPr>
          <w:rFonts w:hint="default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年</w:t>
      </w: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，且</w:t>
      </w: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u w:val="none"/>
          <w:lang w:val="en-US" w:eastAsia="zh-CN"/>
        </w:rPr>
        <w:t>在四川省“科创通”平台完成“科技副总”备案流程。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right w:val="none" w:color="auto" w:sz="0" w:space="0"/>
        </w:pBdr>
        <w:spacing w:before="0" w:beforeAutospacing="0" w:after="0" w:afterAutospacing="0" w:line="579" w:lineRule="exact"/>
        <w:ind w:left="0" w:leftChars="0" w:right="0" w:rightChars="0" w:firstLine="640" w:firstLineChars="200"/>
        <w:textAlignment w:val="baseline"/>
        <w:rPr>
          <w:rFonts w:hint="eastAsia" w:ascii="Times New Roman" w:hAnsi="Times New Roman" w:eastAsia="方正仿宋_GBK" w:cs="Times New Roman"/>
          <w:b w:val="0"/>
          <w:bCs w:val="0"/>
          <w:i w:val="0"/>
          <w:iCs w:val="0"/>
          <w:color w:val="000000" w:themeColor="text1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default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聘用“科技副总”的单位</w:t>
      </w:r>
      <w:r>
        <w:rPr>
          <w:rFonts w:hint="eastAsia" w:ascii="Times New Roman" w:hAnsi="Times New Roman" w:eastAsia="方正仿宋_GBK" w:cs="Times New Roman"/>
          <w:b w:val="0"/>
          <w:bCs w:val="0"/>
          <w:i w:val="0"/>
          <w:iCs w:val="0"/>
          <w:color w:val="000000" w:themeColor="text1"/>
          <w:kern w:val="2"/>
          <w:sz w:val="32"/>
          <w:szCs w:val="32"/>
          <w:highlight w:val="none"/>
          <w:lang w:val="en-US" w:eastAsia="zh-CN" w:bidi="ar-SA"/>
        </w:rPr>
        <w:t>不得为“科技副总”及派出单位创办、入股的企业。</w:t>
      </w:r>
    </w:p>
    <w:p>
      <w:pPr>
        <w:numPr>
          <w:ilvl w:val="0"/>
          <w:numId w:val="0"/>
        </w:numPr>
        <w:ind w:firstLine="0" w:firstLineChars="0"/>
        <w:rPr>
          <w:rFonts w:hint="eastAsia" w:ascii="Calibri" w:hAnsi="Calibri" w:eastAsia="宋体" w:cs="Times New Roman"/>
          <w:b w:val="0"/>
          <w:bCs w:val="0"/>
          <w:i w:val="0"/>
          <w:iCs w:val="0"/>
          <w:kern w:val="2"/>
          <w:sz w:val="21"/>
          <w:szCs w:val="24"/>
          <w:lang w:val="en-US" w:eastAsia="zh-CN" w:bidi="ar-SA"/>
        </w:rPr>
      </w:pP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  <w:lang w:val="en-US" w:eastAsia="zh-CN"/>
        </w:rPr>
        <w:t xml:space="preserve">   （三）  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</w:rPr>
        <w:t>支持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  <w:lang w:val="en-US" w:eastAsia="zh-CN"/>
        </w:rPr>
        <w:t>方式和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</w:rPr>
        <w:t>标准</w:t>
      </w:r>
    </w:p>
    <w:p>
      <w:pPr>
        <w:keepNext w:val="0"/>
        <w:keepLines w:val="0"/>
        <w:widowControl/>
        <w:numPr>
          <w:ilvl w:val="-1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9" w:lineRule="exact"/>
        <w:ind w:left="0" w:leftChars="0" w:right="0" w:rightChars="0" w:firstLine="640" w:firstLineChars="200"/>
        <w:textAlignment w:val="auto"/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</w:rPr>
        <w:t>采用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  <w:lang w:eastAsia="zh-CN"/>
        </w:rPr>
        <w:t>后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  <w:lang w:val="en-US" w:eastAsia="zh-CN"/>
        </w:rPr>
        <w:t>补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</w:rPr>
        <w:t>助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  <w:lang w:eastAsia="zh-CN"/>
        </w:rPr>
        <w:t>，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  <w:lang w:val="en-US" w:eastAsia="zh-CN"/>
        </w:rPr>
        <w:t>以合作的产业化项目成果等合作绩效进行申报，经评审择优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</w:rPr>
        <w:t>给予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  <w:lang w:val="en-US" w:eastAsia="zh-CN"/>
        </w:rPr>
        <w:t>一次性</w:t>
      </w: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10万元资金资助。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9" w:lineRule="exact"/>
        <w:ind w:left="0" w:leftChars="0" w:right="0" w:rightChars="0" w:firstLine="640" w:firstLineChars="200"/>
        <w:jc w:val="left"/>
        <w:textAlignment w:val="baseline"/>
        <w:rPr>
          <w:rFonts w:hint="eastAsia" w:ascii="方正楷体简体" w:hAnsi="方正楷体简体" w:eastAsia="方正楷体简体" w:cs="方正楷体简体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</w:pPr>
      <w:r>
        <w:rPr>
          <w:rFonts w:hint="eastAsia" w:ascii="方正楷体简体" w:hAnsi="方正楷体简体" w:eastAsia="方正楷体简体" w:cs="方正楷体简体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 xml:space="preserve">第七条  </w:t>
      </w:r>
      <w:r>
        <w:rPr>
          <w:rFonts w:hint="eastAsia" w:ascii="方正楷体简体" w:hAnsi="方正楷体简体" w:eastAsia="方正楷体简体" w:cs="方正楷体简体"/>
          <w:color w:val="000000" w:themeColor="text1"/>
          <w:sz w:val="32"/>
          <w:szCs w:val="32"/>
          <w:highlight w:val="none"/>
        </w:rPr>
        <w:t>高校院所科技人才创业项目</w:t>
      </w:r>
    </w:p>
    <w:p>
      <w:pPr>
        <w:pStyle w:val="2"/>
        <w:numPr>
          <w:ilvl w:val="-1"/>
          <w:numId w:val="0"/>
        </w:numPr>
        <w:spacing w:line="579" w:lineRule="exact"/>
        <w:ind w:left="0" w:firstLine="640" w:firstLineChars="200"/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（一）  功能定位</w:t>
      </w:r>
    </w:p>
    <w:p>
      <w:pPr>
        <w:pStyle w:val="2"/>
        <w:spacing w:line="579" w:lineRule="exact"/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鼓励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</w:rPr>
        <w:t>高校科研院所科技人员</w:t>
      </w: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带项目、带团队、带资金在蓉创办科技型企业，实施科技成果转化，促进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  <w:lang w:val="en-US" w:eastAsia="zh-CN"/>
        </w:rPr>
        <w:t>成都市重点产业链高质量发展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  <w:lang w:eastAsia="zh-CN"/>
        </w:rPr>
        <w:t>。</w:t>
      </w:r>
    </w:p>
    <w:p>
      <w:pPr>
        <w:spacing w:line="579" w:lineRule="exact"/>
        <w:ind w:firstLine="640" w:firstLineChars="200"/>
        <w:rPr>
          <w:rFonts w:hint="default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（二）  支持对象和原则</w:t>
      </w:r>
    </w:p>
    <w:p>
      <w:pPr>
        <w:widowControl/>
        <w:numPr>
          <w:ilvl w:val="0"/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579" w:lineRule="exact"/>
        <w:ind w:firstLine="640" w:firstLineChars="200"/>
        <w:textAlignment w:val="baseline"/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1. 申报人应为</w:t>
      </w:r>
      <w:r>
        <w:rPr>
          <w:rFonts w:hint="default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国内高等学校、科研院所、医疗卫生机构等事业单位全职</w:t>
      </w: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专业技术人员。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9" w:lineRule="exact"/>
        <w:ind w:left="0" w:leftChars="0" w:right="0" w:rightChars="0" w:firstLine="640" w:firstLineChars="200"/>
        <w:textAlignment w:val="baseline"/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2. 申报人按规定在蓉创办的企业满1年且不超过5年，且申报人持股不低于20%。</w:t>
      </w:r>
    </w:p>
    <w:p>
      <w:pPr>
        <w:keepNext w:val="0"/>
        <w:keepLines w:val="0"/>
        <w:widowControl/>
        <w:numPr>
          <w:ilvl w:val="-1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9" w:lineRule="exact"/>
        <w:ind w:left="0" w:leftChars="0" w:right="0" w:rightChars="0" w:firstLine="640" w:firstLineChars="200"/>
        <w:textAlignment w:val="baseline"/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</w:rPr>
      </w:pP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  <w:lang w:val="en-US" w:eastAsia="zh-CN"/>
        </w:rPr>
        <w:t xml:space="preserve">3. </w:t>
      </w: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创办企业截至申报上一年度实际到位资本不低于100万元（按申报前一财年核准数据），</w:t>
      </w:r>
      <w:r>
        <w:rPr>
          <w:rFonts w:hint="default" w:ascii="Times New Roman" w:hAnsi="Times New Roman" w:eastAsia="方正仿宋_GBK" w:cs="Times New Roman"/>
          <w:color w:val="000000" w:themeColor="text1"/>
          <w:kern w:val="0"/>
          <w:sz w:val="32"/>
          <w:szCs w:val="32"/>
          <w:highlight w:val="none"/>
          <w:lang w:eastAsia="zh-CN"/>
        </w:rPr>
        <w:t>研发投入不低于</w:t>
      </w:r>
      <w:r>
        <w:rPr>
          <w:rFonts w:hint="default" w:ascii="Times New Roman" w:hAnsi="Times New Roman" w:eastAsia="方正仿宋_GBK" w:cs="Times New Roman"/>
          <w:color w:val="000000" w:themeColor="text1"/>
          <w:kern w:val="0"/>
          <w:sz w:val="32"/>
          <w:szCs w:val="32"/>
          <w:highlight w:val="none"/>
          <w:lang w:val="en-US" w:eastAsia="zh-CN"/>
        </w:rPr>
        <w:t>30万元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</w:rPr>
        <w:t>。</w:t>
      </w:r>
    </w:p>
    <w:p>
      <w:pPr>
        <w:pStyle w:val="2"/>
        <w:spacing w:line="579" w:lineRule="exact"/>
        <w:ind w:firstLine="640" w:firstLineChars="200"/>
        <w:rPr>
          <w:rFonts w:hint="default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4. 创办企业</w:t>
      </w:r>
      <w:r>
        <w:rPr>
          <w:rFonts w:hint="eastAsia" w:ascii="Times New Roman" w:hAnsi="Times New Roman" w:eastAsia="方正仿宋_GBK" w:cs="Times New Roman"/>
          <w:color w:val="000000" w:themeColor="text1"/>
          <w:sz w:val="32"/>
          <w:szCs w:val="32"/>
          <w:highlight w:val="none"/>
          <w:lang w:eastAsia="zh-CN"/>
        </w:rPr>
        <w:t>拥有研发</w:t>
      </w:r>
      <w:r>
        <w:rPr>
          <w:rFonts w:hint="default" w:ascii="Times New Roman" w:hAnsi="Times New Roman" w:eastAsia="方正仿宋_GBK" w:cs="Times New Roman"/>
          <w:color w:val="000000" w:themeColor="text1"/>
          <w:sz w:val="32"/>
          <w:szCs w:val="32"/>
          <w:highlight w:val="none"/>
        </w:rPr>
        <w:t>领域相关的I类知识产权</w:t>
      </w:r>
      <w:r>
        <w:rPr>
          <w:rStyle w:val="6"/>
          <w:rFonts w:hint="default" w:ascii="Times New Roman" w:hAnsi="Times New Roman" w:eastAsia="方正仿宋_GBK" w:cs="Times New Roman"/>
          <w:color w:val="000000" w:themeColor="text1"/>
          <w:sz w:val="32"/>
          <w:szCs w:val="32"/>
          <w:highlight w:val="none"/>
        </w:rPr>
        <w:footnoteReference w:id="0"/>
      </w:r>
      <w:r>
        <w:rPr>
          <w:rFonts w:hint="default" w:ascii="Times New Roman" w:hAnsi="Times New Roman" w:eastAsia="方正仿宋_GBK" w:cs="Times New Roman"/>
          <w:color w:val="000000" w:themeColor="text1"/>
          <w:sz w:val="32"/>
          <w:szCs w:val="32"/>
          <w:highlight w:val="none"/>
        </w:rPr>
        <w:t>不少于</w:t>
      </w:r>
      <w:r>
        <w:rPr>
          <w:rFonts w:hint="eastAsia" w:ascii="Times New Roman" w:hAnsi="Times New Roman" w:eastAsia="方正仿宋_GBK" w:cs="Times New Roman"/>
          <w:color w:val="000000" w:themeColor="text1"/>
          <w:sz w:val="32"/>
          <w:szCs w:val="32"/>
          <w:highlight w:val="none"/>
          <w:lang w:val="en-US" w:eastAsia="zh-CN"/>
        </w:rPr>
        <w:t>1</w:t>
      </w:r>
      <w:r>
        <w:rPr>
          <w:rFonts w:hint="default" w:ascii="Times New Roman" w:hAnsi="Times New Roman" w:eastAsia="方正仿宋_GBK" w:cs="Times New Roman"/>
          <w:color w:val="000000" w:themeColor="text1"/>
          <w:sz w:val="32"/>
          <w:szCs w:val="32"/>
          <w:highlight w:val="none"/>
        </w:rPr>
        <w:t>项。</w:t>
      </w:r>
    </w:p>
    <w:p>
      <w:pPr>
        <w:spacing w:line="579" w:lineRule="exact"/>
        <w:rPr>
          <w:rFonts w:hint="default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 xml:space="preserve">    （三）  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</w:rPr>
        <w:t>支持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  <w:lang w:val="en-US" w:eastAsia="zh-CN"/>
        </w:rPr>
        <w:t>方式和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</w:rPr>
        <w:t>标准</w:t>
      </w:r>
    </w:p>
    <w:p>
      <w:pPr>
        <w:widowControl/>
        <w:numPr>
          <w:ilvl w:val="0"/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579" w:lineRule="exact"/>
        <w:ind w:firstLine="640" w:firstLineChars="200"/>
        <w:jc w:val="both"/>
        <w:textAlignment w:val="baseline"/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</w:rPr>
        <w:t>采用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  <w:lang w:eastAsia="zh-CN"/>
        </w:rPr>
        <w:t>后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  <w:lang w:val="en-US" w:eastAsia="zh-CN"/>
        </w:rPr>
        <w:t>补助方式，经评审择优</w:t>
      </w: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给予最高不超过50万元资金资助。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9" w:lineRule="exact"/>
        <w:ind w:left="2313" w:leftChars="0" w:right="0" w:rightChars="0" w:firstLine="0" w:firstLineChars="0"/>
        <w:jc w:val="left"/>
        <w:textAlignment w:val="baseline"/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eastAsia" w:ascii="黑体" w:hAnsi="黑体" w:eastAsia="黑体" w:cs="黑体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项目的申报与立项</w:t>
      </w:r>
    </w:p>
    <w:p>
      <w:pPr>
        <w:pStyle w:val="2"/>
        <w:numPr>
          <w:ilvl w:val="-1"/>
          <w:numId w:val="0"/>
        </w:numPr>
        <w:ind w:left="2313" w:firstLine="0"/>
        <w:rPr>
          <w:rFonts w:hint="eastAsia"/>
          <w:lang w:val="en-US" w:eastAsia="zh-CN"/>
        </w:rPr>
      </w:pPr>
    </w:p>
    <w:p>
      <w:pPr>
        <w:keepNext w:val="0"/>
        <w:keepLines w:val="0"/>
        <w:widowControl/>
        <w:numPr>
          <w:ilvl w:val="-1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9" w:lineRule="exact"/>
        <w:ind w:left="0" w:leftChars="0" w:right="0" w:rightChars="0" w:firstLine="640" w:firstLineChars="200"/>
        <w:textAlignment w:val="baseline"/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</w:pPr>
      <w:r>
        <w:rPr>
          <w:rFonts w:hint="eastAsia" w:ascii="方正楷体简体" w:hAnsi="方正楷体简体" w:eastAsia="方正楷体简体" w:cs="方正楷体简体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第八条  发布指南。</w:t>
      </w: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根据成都市现代产业发展重点方向，市科技局编制项目申报指南，对外发布申报通知。</w:t>
      </w:r>
    </w:p>
    <w:p>
      <w:pPr>
        <w:keepNext w:val="0"/>
        <w:keepLines w:val="0"/>
        <w:widowControl/>
        <w:numPr>
          <w:ilvl w:val="-1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9" w:lineRule="exact"/>
        <w:ind w:left="0" w:leftChars="0" w:right="0" w:rightChars="0" w:firstLine="640" w:firstLineChars="200"/>
        <w:textAlignment w:val="baseline"/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</w:pPr>
      <w:r>
        <w:rPr>
          <w:rFonts w:hint="eastAsia" w:ascii="方正楷体简体" w:hAnsi="方正楷体简体" w:eastAsia="方正楷体简体" w:cs="方正楷体简体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第九条  项目申报。</w:t>
      </w: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申报单位（人）登录“成都市科技项目管理系统”，完成系统注册之后按要求填报项目申报资料。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9" w:lineRule="exact"/>
        <w:ind w:left="0" w:leftChars="0" w:right="0" w:rightChars="0" w:firstLine="640" w:firstLineChars="0"/>
        <w:textAlignment w:val="baseline"/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</w:pPr>
      <w:r>
        <w:rPr>
          <w:rFonts w:hint="eastAsia" w:ascii="方正楷体简体" w:hAnsi="方正楷体简体" w:eastAsia="方正楷体简体" w:cs="方正楷体简体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第十条  项目评审（审核）。</w:t>
      </w: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市科技局受理申报材料后，对项目材料进行审核或委托第三方评估机构对项目进行专家评审。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9" w:lineRule="exact"/>
        <w:ind w:left="0" w:leftChars="0" w:right="0" w:rightChars="0" w:firstLine="640" w:firstLineChars="0"/>
        <w:textAlignment w:val="baseline"/>
        <w:rPr>
          <w:rFonts w:hint="default" w:ascii="Times New Roman" w:hAnsi="Times New Roman" w:eastAsia="方正仿宋_GBK" w:cs="Times New Roman"/>
          <w:color w:val="000000" w:themeColor="text1"/>
          <w:kern w:val="0"/>
          <w:sz w:val="32"/>
          <w:szCs w:val="32"/>
          <w:highlight w:val="none"/>
        </w:rPr>
      </w:pPr>
      <w:r>
        <w:rPr>
          <w:rFonts w:hint="eastAsia" w:ascii="方正楷体简体" w:hAnsi="方正楷体简体" w:eastAsia="方正楷体简体" w:cs="方正楷体简体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第十一条  项目立项。</w:t>
      </w:r>
      <w:r>
        <w:rPr>
          <w:rFonts w:hint="eastAsia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  <w:t>根据项目评审（审核）结果，</w:t>
      </w:r>
      <w:bookmarkStart w:id="0" w:name="OLE_LINK2"/>
      <w:r>
        <w:rPr>
          <w:rFonts w:hint="default" w:ascii="Times New Roman" w:hAnsi="Times New Roman" w:eastAsia="方正仿宋_GBK" w:cs="Times New Roman"/>
          <w:color w:val="000000" w:themeColor="text1"/>
          <w:kern w:val="0"/>
          <w:sz w:val="32"/>
          <w:szCs w:val="32"/>
          <w:highlight w:val="none"/>
        </w:rPr>
        <w:t>市科技局履行“三重一大”决策程序后</w:t>
      </w:r>
      <w:bookmarkEnd w:id="0"/>
      <w:r>
        <w:rPr>
          <w:rFonts w:hint="default" w:ascii="Times New Roman" w:hAnsi="Times New Roman" w:eastAsia="方正仿宋_GBK" w:cs="Times New Roman"/>
          <w:color w:val="000000" w:themeColor="text1"/>
          <w:kern w:val="0"/>
          <w:sz w:val="32"/>
          <w:szCs w:val="32"/>
          <w:highlight w:val="none"/>
        </w:rPr>
        <w:t>，向社会公示拟支持</w:t>
      </w:r>
      <w:r>
        <w:rPr>
          <w:rFonts w:hint="eastAsia" w:ascii="Times New Roman" w:hAnsi="Times New Roman" w:eastAsia="方正仿宋_GBK" w:cs="Times New Roman"/>
          <w:color w:val="000000" w:themeColor="text1"/>
          <w:kern w:val="0"/>
          <w:sz w:val="32"/>
          <w:szCs w:val="32"/>
          <w:highlight w:val="none"/>
          <w:lang w:val="en-US" w:eastAsia="zh-CN"/>
        </w:rPr>
        <w:t>名单。</w:t>
      </w:r>
      <w:r>
        <w:rPr>
          <w:rFonts w:hint="default" w:ascii="Times New Roman" w:hAnsi="Times New Roman" w:eastAsia="方正仿宋_GBK" w:cs="Times New Roman"/>
          <w:color w:val="000000" w:themeColor="text1"/>
          <w:kern w:val="0"/>
          <w:sz w:val="32"/>
          <w:szCs w:val="32"/>
          <w:highlight w:val="none"/>
        </w:rPr>
        <w:t>公示结束</w:t>
      </w:r>
      <w:r>
        <w:rPr>
          <w:rFonts w:hint="eastAsia" w:ascii="Times New Roman" w:hAnsi="Times New Roman" w:eastAsia="方正仿宋_GBK" w:cs="Times New Roman"/>
          <w:color w:val="000000" w:themeColor="text1"/>
          <w:kern w:val="0"/>
          <w:sz w:val="32"/>
          <w:szCs w:val="32"/>
          <w:highlight w:val="none"/>
          <w:lang w:val="en-US" w:eastAsia="zh-CN"/>
        </w:rPr>
        <w:t>无异议的</w:t>
      </w:r>
      <w:r>
        <w:rPr>
          <w:rFonts w:hint="default" w:ascii="Times New Roman" w:hAnsi="Times New Roman" w:eastAsia="方正仿宋_GBK" w:cs="Times New Roman"/>
          <w:color w:val="000000" w:themeColor="text1"/>
          <w:kern w:val="0"/>
          <w:sz w:val="32"/>
          <w:szCs w:val="32"/>
          <w:highlight w:val="none"/>
        </w:rPr>
        <w:t>，市科技局按程序公布</w:t>
      </w:r>
      <w:r>
        <w:rPr>
          <w:rFonts w:hint="eastAsia" w:ascii="Times New Roman" w:hAnsi="Times New Roman" w:eastAsia="方正仿宋_GBK" w:cs="Times New Roman"/>
          <w:color w:val="000000" w:themeColor="text1"/>
          <w:kern w:val="0"/>
          <w:sz w:val="32"/>
          <w:szCs w:val="32"/>
          <w:highlight w:val="none"/>
          <w:lang w:val="en-US" w:eastAsia="zh-CN"/>
        </w:rPr>
        <w:t>立项支持</w:t>
      </w:r>
      <w:r>
        <w:rPr>
          <w:rFonts w:hint="default" w:ascii="Times New Roman" w:hAnsi="Times New Roman" w:eastAsia="方正仿宋_GBK" w:cs="Times New Roman"/>
          <w:color w:val="000000" w:themeColor="text1"/>
          <w:kern w:val="0"/>
          <w:sz w:val="32"/>
          <w:szCs w:val="32"/>
          <w:highlight w:val="none"/>
        </w:rPr>
        <w:t>名单。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9" w:lineRule="exact"/>
        <w:ind w:left="0" w:leftChars="0" w:right="0" w:rightChars="0" w:firstLine="640" w:firstLineChars="0"/>
        <w:textAlignment w:val="baseline"/>
        <w:rPr>
          <w:rFonts w:hint="eastAsia" w:ascii="Times New Roman" w:hAnsi="Times New Roman" w:eastAsia="方正仿宋_GBK" w:cs="Times New Roman"/>
          <w:color w:val="000000" w:themeColor="text1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方正楷体简体" w:hAnsi="方正楷体简体" w:eastAsia="方正楷体简体" w:cs="方正楷体简体"/>
          <w:color w:val="000000" w:themeColor="text1"/>
          <w:kern w:val="2"/>
          <w:sz w:val="32"/>
          <w:szCs w:val="32"/>
          <w:highlight w:val="none"/>
          <w:lang w:val="en-US" w:eastAsia="zh-CN"/>
        </w:rPr>
        <w:t>第十二条  签订任务书。</w:t>
      </w:r>
      <w:r>
        <w:rPr>
          <w:rFonts w:hint="eastAsia" w:ascii="Times New Roman" w:hAnsi="Times New Roman" w:eastAsia="方正仿宋_GBK" w:cs="Times New Roman"/>
          <w:color w:val="000000" w:themeColor="text1"/>
          <w:kern w:val="0"/>
          <w:sz w:val="32"/>
          <w:szCs w:val="32"/>
          <w:highlight w:val="none"/>
          <w:lang w:val="en-US" w:eastAsia="zh-CN"/>
        </w:rPr>
        <w:t>本办法中的前资助项目需按签订任务书的目标执行，并接受考核验收。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9" w:lineRule="exact"/>
        <w:ind w:left="0" w:leftChars="0" w:right="0" w:rightChars="0" w:firstLine="640" w:firstLineChars="0"/>
        <w:textAlignment w:val="baseline"/>
        <w:rPr>
          <w:rFonts w:hint="eastAsia" w:ascii="Times New Roman" w:hAnsi="Times New Roman" w:eastAsia="方正仿宋_GBK" w:cs="Times New Roman"/>
          <w:color w:val="000000" w:themeColor="text1"/>
          <w:kern w:val="0"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9" w:lineRule="exact"/>
        <w:ind w:left="0" w:leftChars="0" w:right="0" w:rightChars="0" w:firstLine="0" w:firstLineChars="0"/>
        <w:jc w:val="center"/>
        <w:textAlignment w:val="baseline"/>
        <w:rPr>
          <w:rFonts w:hint="eastAsia" w:ascii="黑体" w:hAnsi="黑体" w:eastAsia="黑体" w:cs="黑体"/>
          <w:color w:val="000000" w:themeColor="text1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000000" w:themeColor="text1"/>
          <w:kern w:val="0"/>
          <w:sz w:val="32"/>
          <w:szCs w:val="32"/>
          <w:highlight w:val="none"/>
          <w:lang w:val="en-US" w:eastAsia="zh-CN"/>
        </w:rPr>
        <w:t xml:space="preserve"> 附则</w:t>
      </w:r>
    </w:p>
    <w:p>
      <w:pPr>
        <w:widowControl/>
        <w:numPr>
          <w:ilvl w:val="0"/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579" w:lineRule="exact"/>
        <w:ind w:firstLine="0" w:firstLineChars="0"/>
        <w:textAlignment w:val="baseline"/>
        <w:rPr>
          <w:rFonts w:hint="eastAsia" w:ascii="Times New Roman" w:hAnsi="Times New Roman" w:eastAsia="方正仿宋_GBK" w:cs="Times New Roman"/>
          <w:color w:val="000000" w:themeColor="text1"/>
          <w:kern w:val="2"/>
          <w:sz w:val="32"/>
          <w:szCs w:val="32"/>
          <w:highlight w:val="none"/>
          <w:lang w:bidi="ar-SA"/>
        </w:rPr>
      </w:pPr>
      <w:r>
        <w:rPr>
          <w:rFonts w:hint="eastAsia" w:ascii="方正楷体简体" w:hAnsi="方正楷体简体" w:eastAsia="方正楷体简体" w:cs="方正楷体简体"/>
          <w:color w:val="000000" w:themeColor="text1"/>
          <w:kern w:val="2"/>
          <w:sz w:val="32"/>
          <w:szCs w:val="32"/>
          <w:highlight w:val="none"/>
          <w:lang w:val="en-US" w:eastAsia="zh-CN"/>
        </w:rPr>
        <w:t xml:space="preserve">    </w:t>
      </w:r>
      <w:r>
        <w:rPr>
          <w:rFonts w:hint="eastAsia" w:ascii="方正楷体简体" w:hAnsi="方正楷体简体" w:eastAsia="方正楷体简体" w:cs="方正楷体简体"/>
          <w:color w:val="000000" w:themeColor="text1"/>
          <w:kern w:val="2"/>
          <w:sz w:val="32"/>
          <w:szCs w:val="32"/>
          <w:highlight w:val="none"/>
          <w:lang w:bidi="ar-SA"/>
        </w:rPr>
        <w:t>第</w:t>
      </w:r>
      <w:r>
        <w:rPr>
          <w:rFonts w:hint="eastAsia" w:ascii="方正楷体简体" w:hAnsi="方正楷体简体" w:eastAsia="方正楷体简体" w:cs="方正楷体简体"/>
          <w:color w:val="000000" w:themeColor="text1"/>
          <w:kern w:val="2"/>
          <w:sz w:val="32"/>
          <w:szCs w:val="32"/>
          <w:highlight w:val="none"/>
          <w:lang w:val="en-US" w:eastAsia="zh-CN" w:bidi="ar-SA"/>
        </w:rPr>
        <w:t>十三</w:t>
      </w:r>
      <w:r>
        <w:rPr>
          <w:rFonts w:hint="eastAsia" w:ascii="方正楷体简体" w:hAnsi="方正楷体简体" w:eastAsia="方正楷体简体" w:cs="方正楷体简体"/>
          <w:color w:val="000000" w:themeColor="text1"/>
          <w:kern w:val="2"/>
          <w:sz w:val="32"/>
          <w:szCs w:val="32"/>
          <w:highlight w:val="none"/>
          <w:lang w:bidi="ar-SA"/>
        </w:rPr>
        <w:t>条</w:t>
      </w:r>
      <w:r>
        <w:rPr>
          <w:rFonts w:hint="eastAsia" w:ascii="方正楷体简体" w:hAnsi="方正楷体简体" w:eastAsia="方正楷体简体" w:cs="方正楷体简体"/>
          <w:color w:val="000000" w:themeColor="text1"/>
          <w:kern w:val="2"/>
          <w:sz w:val="32"/>
          <w:szCs w:val="32"/>
          <w:highlight w:val="none"/>
          <w:lang w:val="en-US" w:eastAsia="zh-CN" w:bidi="ar-SA"/>
        </w:rPr>
        <w:t xml:space="preserve">  </w:t>
      </w:r>
      <w:r>
        <w:rPr>
          <w:rFonts w:hint="eastAsia" w:ascii="方正楷体简体" w:hAnsi="方正楷体简体" w:eastAsia="方正楷体简体" w:cs="方正楷体简体"/>
          <w:color w:val="000000" w:themeColor="text1"/>
          <w:kern w:val="2"/>
          <w:sz w:val="32"/>
          <w:szCs w:val="32"/>
          <w:highlight w:val="none"/>
          <w:lang w:bidi="ar-SA"/>
        </w:rPr>
        <w:t>监督管理</w:t>
      </w:r>
      <w:r>
        <w:rPr>
          <w:rFonts w:hint="eastAsia" w:ascii="方正楷体简体" w:hAnsi="方正楷体简体" w:eastAsia="方正楷体简体" w:cs="方正楷体简体"/>
          <w:color w:val="000000" w:themeColor="text1"/>
          <w:kern w:val="2"/>
          <w:sz w:val="32"/>
          <w:szCs w:val="32"/>
          <w:highlight w:val="none"/>
          <w:lang w:eastAsia="zh-CN" w:bidi="ar-SA"/>
        </w:rPr>
        <w:t>。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</w:rPr>
        <w:t>对在申请、周期评估等过程中，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  <w:lang w:val="en-US" w:eastAsia="zh-CN"/>
        </w:rPr>
        <w:t>被</w:t>
      </w:r>
      <w:r>
        <w:rPr>
          <w:rFonts w:hint="eastAsia" w:ascii="Times New Roman" w:hAnsi="Times New Roman" w:eastAsia="方正仿宋_GBK"/>
          <w:color w:val="000000" w:themeColor="text1"/>
          <w:sz w:val="32"/>
          <w:szCs w:val="32"/>
          <w:highlight w:val="none"/>
        </w:rPr>
        <w:t>投诉举报或经查实存在弄虚作假、剽窃他人科技成果、故意隐瞒真实情况等违法违规行为，恶意骗取财政资金的，依规追究依托单位（含法定代表人）责任，纳入科研失信行为记录，并按有关规定实施联合惩戒；涉嫌违法犯罪的，依法移送司法机关处理。</w:t>
      </w:r>
    </w:p>
    <w:p>
      <w:pPr>
        <w:widowControl/>
        <w:numPr>
          <w:ilvl w:val="0"/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579" w:lineRule="exact"/>
        <w:ind w:firstLine="640" w:firstLineChars="200"/>
        <w:textAlignment w:val="baseline"/>
        <w:rPr>
          <w:rFonts w:hint="eastAsia" w:ascii="Times New Roman" w:hAnsi="Times New Roman" w:eastAsia="方正仿宋_GBK" w:cs="Times New Roman"/>
          <w:color w:val="000000" w:themeColor="text1"/>
          <w:sz w:val="32"/>
          <w:szCs w:val="32"/>
          <w:highlight w:val="none"/>
          <w:lang w:bidi="ar-SA"/>
        </w:rPr>
      </w:pPr>
      <w:r>
        <w:rPr>
          <w:rFonts w:hint="eastAsia" w:ascii="方正楷体简体" w:hAnsi="方正楷体简体" w:eastAsia="方正楷体简体" w:cs="方正楷体简体"/>
          <w:color w:val="000000" w:themeColor="text1"/>
          <w:kern w:val="2"/>
          <w:sz w:val="32"/>
          <w:szCs w:val="32"/>
          <w:highlight w:val="none"/>
          <w:lang w:bidi="ar-SA"/>
        </w:rPr>
        <w:t>第</w:t>
      </w:r>
      <w:r>
        <w:rPr>
          <w:rFonts w:hint="eastAsia" w:ascii="方正楷体简体" w:hAnsi="方正楷体简体" w:eastAsia="方正楷体简体" w:cs="方正楷体简体"/>
          <w:color w:val="000000" w:themeColor="text1"/>
          <w:kern w:val="2"/>
          <w:sz w:val="32"/>
          <w:szCs w:val="32"/>
          <w:highlight w:val="none"/>
          <w:lang w:val="en-US" w:eastAsia="zh-CN" w:bidi="ar-SA"/>
        </w:rPr>
        <w:t>十四</w:t>
      </w:r>
      <w:r>
        <w:rPr>
          <w:rFonts w:hint="eastAsia" w:ascii="方正楷体简体" w:hAnsi="方正楷体简体" w:eastAsia="方正楷体简体" w:cs="方正楷体简体"/>
          <w:color w:val="000000" w:themeColor="text1"/>
          <w:kern w:val="2"/>
          <w:sz w:val="32"/>
          <w:szCs w:val="32"/>
          <w:highlight w:val="none"/>
          <w:lang w:bidi="ar-SA"/>
        </w:rPr>
        <w:t xml:space="preserve">条  </w:t>
      </w:r>
      <w:r>
        <w:rPr>
          <w:rFonts w:hint="eastAsia" w:ascii="方正楷体简体" w:hAnsi="方正楷体简体" w:eastAsia="方正楷体简体" w:cs="方正楷体简体"/>
          <w:color w:val="000000" w:themeColor="text1"/>
          <w:sz w:val="32"/>
          <w:szCs w:val="32"/>
          <w:highlight w:val="none"/>
        </w:rPr>
        <w:t>解释机关</w:t>
      </w:r>
      <w:r>
        <w:rPr>
          <w:rFonts w:hint="eastAsia" w:ascii="方正楷体简体" w:hAnsi="方正楷体简体" w:eastAsia="方正楷体简体" w:cs="方正楷体简体"/>
          <w:color w:val="000000" w:themeColor="text1"/>
          <w:sz w:val="32"/>
          <w:szCs w:val="32"/>
          <w:highlight w:val="none"/>
          <w:lang w:eastAsia="zh-CN"/>
        </w:rPr>
        <w:t>。</w:t>
      </w:r>
      <w:r>
        <w:rPr>
          <w:rFonts w:hint="eastAsia" w:ascii="Times New Roman" w:hAnsi="Times New Roman" w:eastAsia="方正仿宋_GBK" w:cs="Times New Roman"/>
          <w:color w:val="000000" w:themeColor="text1"/>
          <w:kern w:val="2"/>
          <w:sz w:val="32"/>
          <w:szCs w:val="32"/>
          <w:highlight w:val="none"/>
        </w:rPr>
        <w:t>本办法由成都市科学技术局负责解释。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79" w:lineRule="exact"/>
        <w:ind w:leftChars="0" w:right="0" w:rightChars="0" w:firstLine="640"/>
        <w:jc w:val="left"/>
        <w:textAlignment w:val="baseline"/>
        <w:outlineLvl w:val="9"/>
        <w:rPr>
          <w:rFonts w:hint="default" w:ascii="Times New Roman" w:hAnsi="Times New Roman" w:eastAsia="方正仿宋_GBK" w:cs="Times New Roman"/>
          <w:b w:val="0"/>
          <w:bCs w:val="0"/>
          <w:color w:val="000000" w:themeColor="text1"/>
          <w:sz w:val="32"/>
          <w:szCs w:val="32"/>
          <w:highlight w:val="none"/>
          <w:lang w:val="en-US" w:eastAsia="zh-CN"/>
        </w:rPr>
      </w:pPr>
      <w:r>
        <w:rPr>
          <w:rFonts w:hint="eastAsia" w:ascii="方正楷体简体" w:hAnsi="方正楷体简体" w:eastAsia="方正楷体简体" w:cs="方正楷体简体"/>
          <w:color w:val="000000" w:themeColor="text1"/>
          <w:sz w:val="32"/>
          <w:szCs w:val="32"/>
          <w:highlight w:val="none"/>
        </w:rPr>
        <w:t>第</w:t>
      </w:r>
      <w:r>
        <w:rPr>
          <w:rFonts w:hint="eastAsia" w:ascii="方正楷体简体" w:hAnsi="方正楷体简体" w:eastAsia="方正楷体简体" w:cs="方正楷体简体"/>
          <w:color w:val="000000" w:themeColor="text1"/>
          <w:sz w:val="32"/>
          <w:szCs w:val="32"/>
          <w:highlight w:val="none"/>
          <w:lang w:val="en-US" w:eastAsia="zh-CN"/>
        </w:rPr>
        <w:t>十五</w:t>
      </w:r>
      <w:r>
        <w:rPr>
          <w:rFonts w:hint="eastAsia" w:ascii="方正楷体简体" w:hAnsi="方正楷体简体" w:eastAsia="方正楷体简体" w:cs="方正楷体简体"/>
          <w:color w:val="000000" w:themeColor="text1"/>
          <w:sz w:val="32"/>
          <w:szCs w:val="32"/>
          <w:highlight w:val="none"/>
        </w:rPr>
        <w:t>条</w:t>
      </w:r>
      <w:r>
        <w:rPr>
          <w:rFonts w:hint="eastAsia" w:ascii="方正楷体简体" w:hAnsi="方正楷体简体" w:eastAsia="方正楷体简体" w:cs="方正楷体简体"/>
          <w:color w:val="000000" w:themeColor="text1"/>
          <w:sz w:val="32"/>
          <w:szCs w:val="32"/>
          <w:highlight w:val="none"/>
          <w:lang w:eastAsia="zh-CN"/>
        </w:rPr>
        <w:t xml:space="preserve"> </w:t>
      </w:r>
      <w:r>
        <w:rPr>
          <w:rFonts w:hint="eastAsia" w:ascii="方正楷体简体" w:hAnsi="方正楷体简体" w:eastAsia="方正楷体简体" w:cs="方正楷体简体"/>
          <w:color w:val="000000" w:themeColor="text1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eastAsia" w:ascii="方正楷体简体" w:hAnsi="方正楷体简体" w:eastAsia="方正楷体简体" w:cs="方正楷体简体"/>
          <w:color w:val="000000" w:themeColor="text1"/>
          <w:sz w:val="32"/>
          <w:szCs w:val="32"/>
          <w:highlight w:val="none"/>
        </w:rPr>
        <w:t>施行日期</w:t>
      </w:r>
      <w:r>
        <w:rPr>
          <w:rFonts w:hint="eastAsia" w:ascii="方正楷体简体" w:hAnsi="方正楷体简体" w:eastAsia="方正楷体简体" w:cs="方正楷体简体"/>
          <w:color w:val="000000" w:themeColor="text1"/>
          <w:sz w:val="32"/>
          <w:szCs w:val="32"/>
          <w:highlight w:val="none"/>
          <w:lang w:eastAsia="zh-CN"/>
        </w:rPr>
        <w:t>。</w:t>
      </w:r>
      <w:r>
        <w:rPr>
          <w:rFonts w:hint="eastAsia" w:ascii="Times New Roman" w:hAnsi="Times New Roman" w:eastAsia="方正仿宋_GBK" w:cs="Times New Roman"/>
          <w:color w:val="000000" w:themeColor="text1"/>
          <w:kern w:val="2"/>
          <w:sz w:val="32"/>
          <w:szCs w:val="32"/>
          <w:highlight w:val="none"/>
        </w:rPr>
        <w:t>本办法自202</w:t>
      </w:r>
      <w:r>
        <w:rPr>
          <w:rFonts w:hint="eastAsia" w:ascii="Times New Roman" w:hAnsi="Times New Roman" w:eastAsia="方正仿宋_GBK" w:cs="Times New Roman"/>
          <w:color w:val="000000" w:themeColor="text1"/>
          <w:kern w:val="2"/>
          <w:sz w:val="32"/>
          <w:szCs w:val="32"/>
          <w:highlight w:val="none"/>
          <w:lang w:eastAsia="zh-CN"/>
        </w:rPr>
        <w:t>6</w:t>
      </w:r>
      <w:r>
        <w:rPr>
          <w:rFonts w:hint="eastAsia" w:ascii="Times New Roman" w:hAnsi="Times New Roman" w:eastAsia="方正仿宋_GBK" w:cs="Times New Roman"/>
          <w:color w:val="000000" w:themeColor="text1"/>
          <w:kern w:val="2"/>
          <w:sz w:val="32"/>
          <w:szCs w:val="32"/>
          <w:highlight w:val="none"/>
        </w:rPr>
        <w:t>年X月X日起施行，有效期五年。</w:t>
      </w:r>
    </w:p>
    <w:p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楷体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文泉驿微米黑">
    <w:panose1 w:val="020B0606030804020204"/>
    <w:charset w:val="86"/>
    <w:family w:val="auto"/>
    <w:pitch w:val="default"/>
    <w:sig w:usb0="E10002EF" w:usb1="6BDFFCFB" w:usb2="00800036" w:usb3="00000000" w:csb0="603E019F" w:csb1="DFD7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2">
    <w:p>
      <w:r>
        <w:separator/>
      </w:r>
    </w:p>
  </w:footnote>
  <w:footnote w:type="continuationSeparator" w:id="3">
    <w:p>
      <w:r>
        <w:continuationSeparator/>
      </w:r>
    </w:p>
  </w:footnote>
  <w:footnote w:id="0">
    <w:p>
      <w:pPr>
        <w:pStyle w:val="3"/>
      </w:pPr>
      <w:r>
        <w:rPr>
          <w:rStyle w:val="6"/>
          <w:rFonts w:ascii="Times New Roman" w:hAnsi="Times New Roman"/>
        </w:rPr>
        <w:footnoteRef/>
      </w:r>
      <w:r>
        <w:rPr>
          <w:rFonts w:ascii="Times New Roman" w:hAnsi="Times New Roman"/>
          <w:color w:val="000000"/>
          <w:szCs w:val="18"/>
        </w:rPr>
        <w:t xml:space="preserve"> </w:t>
      </w:r>
      <w:r>
        <w:rPr>
          <w:rFonts w:hint="eastAsia" w:ascii="Calibri" w:hAnsi="Calibri" w:eastAsia="宋体" w:cs="Times New Roman"/>
          <w:color w:val="000000"/>
          <w:sz w:val="18"/>
          <w:szCs w:val="18"/>
        </w:rPr>
        <w:t>I类知识产权</w:t>
      </w:r>
      <w:r>
        <w:rPr>
          <w:rFonts w:hint="eastAsia"/>
          <w:color w:val="000000"/>
          <w:szCs w:val="18"/>
        </w:rPr>
        <w:t>指发明专利（含国防专利）、植物新品种、国家级农作物品种、国家新药、国家一级中药保护品种、集成电路布图设计专有权。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AF55F5"/>
    <w:multiLevelType w:val="singleLevel"/>
    <w:tmpl w:val="AAAF55F5"/>
    <w:lvl w:ilvl="0" w:tentative="0">
      <w:start w:val="3"/>
      <w:numFmt w:val="decimal"/>
      <w:suff w:val="space"/>
      <w:lvlText w:val="%1."/>
      <w:lvlJc w:val="left"/>
    </w:lvl>
  </w:abstractNum>
  <w:abstractNum w:abstractNumId="1">
    <w:nsid w:val="D07BADEF"/>
    <w:multiLevelType w:val="singleLevel"/>
    <w:tmpl w:val="D07BADEF"/>
    <w:lvl w:ilvl="0" w:tentative="0">
      <w:start w:val="4"/>
      <w:numFmt w:val="chineseCounting"/>
      <w:suff w:val="space"/>
      <w:lvlText w:val="第%1章"/>
      <w:lvlJc w:val="left"/>
      <w:rPr>
        <w:rFonts w:hint="eastAsia"/>
      </w:rPr>
    </w:lvl>
  </w:abstractNum>
  <w:abstractNum w:abstractNumId="2">
    <w:nsid w:val="EB575198"/>
    <w:multiLevelType w:val="singleLevel"/>
    <w:tmpl w:val="EB575198"/>
    <w:lvl w:ilvl="0" w:tentative="0">
      <w:start w:val="3"/>
      <w:numFmt w:val="chineseCounting"/>
      <w:suff w:val="space"/>
      <w:lvlText w:val="第%1章"/>
      <w:lvlJc w:val="left"/>
      <w:pPr>
        <w:ind w:left="2313" w:leftChars="0" w:firstLine="0" w:firstLineChars="0"/>
      </w:pPr>
      <w:rPr>
        <w:rFonts w:hint="eastAsi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2"/>
    <w:footnote w:id="3"/>
  </w:foot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3DF70BC5"/>
    <w:rsid w:val="52EB258E"/>
    <w:rsid w:val="5ABFDB23"/>
    <w:rsid w:val="7FADBC43"/>
    <w:rsid w:val="7FFB0242"/>
    <w:rsid w:val="ACFFDB74"/>
    <w:rsid w:val="CEE6A34F"/>
    <w:rsid w:val="FFEEF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ind w:firstLine="630"/>
    </w:pPr>
    <w:rPr>
      <w:kern w:val="0"/>
    </w:rPr>
  </w:style>
  <w:style w:type="paragraph" w:styleId="3">
    <w:name w:val="footnote text"/>
    <w:basedOn w:val="1"/>
    <w:qFormat/>
    <w:uiPriority w:val="0"/>
    <w:pPr>
      <w:snapToGrid w:val="0"/>
      <w:jc w:val="left"/>
    </w:pPr>
    <w:rPr>
      <w:sz w:val="18"/>
    </w:rPr>
  </w:style>
  <w:style w:type="character" w:styleId="6">
    <w:name w:val="footnote reference"/>
    <w:qFormat/>
    <w:uiPriority w:val="0"/>
    <w:rPr>
      <w:vertAlign w:val="superscript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Office_12.8.2.1113_F1E327BC-269C-435d-A152-05C5408002CA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2026-03-26T18:15:00Z</dcterms:created>
  <dc:creator>user</dc:creator>
  <cp:lastModifiedBy>ous</cp:lastModifiedBy>
  <cp:lastPrinted>2026-03-26T18:45:00Z</cp:lastPrinted>
  <dcterms:modified xsi:type="dcterms:W3CDTF">2026-03-26T11:22:38Z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2052-12.8.2.1113</vt:lpwstr>
  </property>
  <property fmtid="{D5CDD505-2E9C-101B-9397-08002B2CF9AE}" pid="3" name="ICV">
    <vt:lpwstr>FD13C80FF3A33777B1A2C46914520BB1_43</vt:lpwstr>
  </property>
</Properties>
</file>