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eastAsia="zh-CN"/>
        </w:rPr>
        <w:t>附件</w:t>
      </w:r>
      <w:r>
        <w:rPr>
          <w:rFonts w:hint="default" w:ascii="Times New Roman" w:hAnsi="Times New Roman" w:eastAsia="方正黑体_GBK" w:cs="Times New Roman"/>
          <w:b w:val="0"/>
          <w:bCs w:val="0"/>
          <w:sz w:val="32"/>
          <w:szCs w:val="32"/>
          <w:lang w:val="en-US" w:eastAsia="zh-CN"/>
        </w:rPr>
        <w:t>1</w:t>
      </w:r>
    </w:p>
    <w:p>
      <w:pPr>
        <w:adjustRightInd w:val="0"/>
        <w:snapToGrid w:val="0"/>
        <w:spacing w:line="640" w:lineRule="exact"/>
        <w:jc w:val="center"/>
        <w:rPr>
          <w:rFonts w:hint="eastAsia" w:ascii="方正小标宋_GBK" w:hAnsi="方正小标宋_GBK" w:eastAsia="方正小标宋_GBK" w:cs="方正小标宋_GBK"/>
          <w:b/>
          <w:bCs/>
          <w:sz w:val="44"/>
          <w:szCs w:val="44"/>
        </w:rPr>
      </w:pPr>
    </w:p>
    <w:p>
      <w:pPr>
        <w:adjustRightInd w:val="0"/>
        <w:snapToGrid w:val="0"/>
        <w:spacing w:line="640" w:lineRule="exact"/>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关于加快推进知识产权服务业高质量</w:t>
      </w:r>
    </w:p>
    <w:p>
      <w:pPr>
        <w:adjustRightInd w:val="0"/>
        <w:snapToGrid w:val="0"/>
        <w:spacing w:line="640" w:lineRule="exact"/>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发展的若干措施</w:t>
      </w:r>
    </w:p>
    <w:p>
      <w:pPr>
        <w:adjustRightInd w:val="0"/>
        <w:snapToGrid w:val="0"/>
        <w:spacing w:line="640" w:lineRule="exact"/>
        <w:jc w:val="center"/>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z w:val="32"/>
          <w:szCs w:val="32"/>
        </w:rPr>
        <w:t>（征求意见稿）</w:t>
      </w:r>
    </w:p>
    <w:p>
      <w:pPr>
        <w:adjustRightInd w:val="0"/>
        <w:snapToGrid w:val="0"/>
        <w:spacing w:line="640" w:lineRule="exact"/>
        <w:ind w:firstLine="640" w:firstLineChars="200"/>
        <w:rPr>
          <w:rFonts w:ascii="方正仿宋_GB2312" w:hAnsi="方正仿宋_GB2312" w:eastAsia="方正仿宋_GB2312" w:cs="方正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为深入贯彻落实国家知识产权局等</w:t>
      </w:r>
      <w:r>
        <w:rPr>
          <w:rFonts w:hint="default" w:ascii="Times New Roman" w:hAnsi="Times New Roman" w:eastAsia="方正仿宋_GBK" w:cs="Times New Roman"/>
          <w:sz w:val="32"/>
          <w:szCs w:val="32"/>
        </w:rPr>
        <w:t>17</w:t>
      </w:r>
      <w:r>
        <w:rPr>
          <w:rFonts w:hint="eastAsia" w:ascii="方正仿宋_GBK" w:hAnsi="方正仿宋_GBK" w:eastAsia="方正仿宋_GBK" w:cs="方正仿宋_GBK"/>
          <w:sz w:val="32"/>
          <w:szCs w:val="32"/>
        </w:rPr>
        <w:t>部门《关于加快推动知识产权服务业高质量发展的意见》《重庆市知识产权强市建设纲要》和《共建现代化新重庆知识产权强市实施方案》的部署要求，加快构建与现代化新重庆相适应的知识产权服务生态，结合我市实际，现制定如下措施。</w:t>
      </w:r>
    </w:p>
    <w:p>
      <w:pPr>
        <w:adjustRightInd w:val="0"/>
        <w:snapToGrid w:val="0"/>
        <w:spacing w:line="640" w:lineRule="exact"/>
        <w:ind w:firstLine="640" w:firstLineChars="20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一、提升知识产权服务供给能力</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方正仿宋_GBK" w:hAnsi="方正仿宋_GBK" w:eastAsia="方正仿宋_GBK" w:cs="方正仿宋_GBK"/>
          <w:sz w:val="32"/>
          <w:szCs w:val="32"/>
        </w:rPr>
      </w:pPr>
      <w:bookmarkStart w:id="0" w:name="_GoBack"/>
      <w:r>
        <w:rPr>
          <w:rFonts w:hint="eastAsia" w:ascii="方正楷体_GBK" w:hAnsi="方正楷体_GBK" w:eastAsia="方正楷体_GBK" w:cs="方正楷体_GBK"/>
          <w:b w:val="0"/>
          <w:bCs w:val="0"/>
          <w:sz w:val="32"/>
          <w:szCs w:val="32"/>
        </w:rPr>
        <w:t>（一）加快服务业与产业融合发展。</w:t>
      </w:r>
      <w:bookmarkEnd w:id="0"/>
      <w:r>
        <w:rPr>
          <w:rFonts w:hint="eastAsia" w:ascii="方正仿宋_GBK" w:hAnsi="方正仿宋_GBK" w:eastAsia="方正仿宋_GBK" w:cs="方正仿宋_GBK"/>
          <w:sz w:val="32"/>
          <w:szCs w:val="32"/>
        </w:rPr>
        <w:t>引导知识产权服务业向重点产业、关键领域汇聚，面向产业链、创新链开展知识产权专业服务，聚焦“</w:t>
      </w:r>
      <w:r>
        <w:rPr>
          <w:rFonts w:hint="default" w:ascii="Times New Roman" w:hAnsi="Times New Roman" w:eastAsia="方正仿宋_GBK" w:cs="Times New Roman"/>
          <w:sz w:val="32"/>
          <w:szCs w:val="32"/>
        </w:rPr>
        <w:t>416</w:t>
      </w:r>
      <w:r>
        <w:rPr>
          <w:rFonts w:hint="eastAsia" w:ascii="方正仿宋_GBK" w:hAnsi="方正仿宋_GBK" w:eastAsia="方正仿宋_GBK" w:cs="方正仿宋_GBK"/>
          <w:sz w:val="32"/>
          <w:szCs w:val="32"/>
        </w:rPr>
        <w:t>”科技创新布局与“</w:t>
      </w:r>
      <w:r>
        <w:rPr>
          <w:rFonts w:hint="default" w:ascii="Times New Roman" w:hAnsi="Times New Roman" w:eastAsia="方正仿宋_GBK" w:cs="Times New Roman"/>
          <w:sz w:val="32"/>
          <w:szCs w:val="32"/>
        </w:rPr>
        <w:t>33618</w:t>
      </w:r>
      <w:r>
        <w:rPr>
          <w:rFonts w:hint="eastAsia" w:ascii="方正仿宋_GBK" w:hAnsi="方正仿宋_GBK" w:eastAsia="方正仿宋_GBK" w:cs="方正仿宋_GBK"/>
          <w:sz w:val="32"/>
          <w:szCs w:val="32"/>
        </w:rPr>
        <w:t>”现代制造业集群体系，助力关键核心技术攻关、破解“卡脖子”技术知识产权壁垒，推动科技创新和产业创新深度融合。支持服务机构和行业组织围绕乡村特色产业开展专利导航、商标品牌布局、区域品牌和地理标志保护运用等服务，提升产业附加值与市场竞争力，助力农业农村发展和支撑乡村振兴。鼓励服务机构为数字经济产业、集成电路产业等提供精准化、定制化服务，探索数据产权保护与流通利用新路径，加速集成电路产业创新成果确权与应用转化。</w:t>
      </w:r>
    </w:p>
    <w:p>
      <w:pPr>
        <w:adjustRightInd w:val="0"/>
        <w:snapToGrid w:val="0"/>
        <w:spacing w:line="640" w:lineRule="exact"/>
        <w:ind w:firstLine="640" w:firstLineChars="200"/>
        <w:rPr>
          <w:rFonts w:hint="eastAsia" w:ascii="方正仿宋_GBK" w:hAnsi="方正仿宋_GBK" w:eastAsia="方正仿宋_GBK" w:cs="方正仿宋_GBK"/>
          <w:color w:val="171A1D"/>
          <w:sz w:val="32"/>
          <w:szCs w:val="32"/>
          <w:shd w:val="clear" w:color="auto" w:fill="FFFFFF"/>
          <w:lang w:bidi="ar"/>
        </w:rPr>
      </w:pPr>
      <w:r>
        <w:rPr>
          <w:rFonts w:hint="eastAsia" w:ascii="方正楷体_GBK" w:hAnsi="方正楷体_GBK" w:eastAsia="方正楷体_GBK" w:cs="方正楷体_GBK"/>
          <w:b w:val="0"/>
          <w:bCs w:val="0"/>
          <w:sz w:val="32"/>
          <w:szCs w:val="32"/>
        </w:rPr>
        <w:t>（二）推动服务业向专业化、价值链高端迈进。</w:t>
      </w:r>
      <w:r>
        <w:rPr>
          <w:rFonts w:hint="eastAsia" w:ascii="方正仿宋_GBK" w:hAnsi="方正仿宋_GBK" w:eastAsia="方正仿宋_GBK" w:cs="方正仿宋_GBK"/>
          <w:sz w:val="32"/>
          <w:szCs w:val="32"/>
        </w:rPr>
        <w:t>推动专利代理从“数量导向”向“质量导向”转变，建立以质量为导向的代理服务评价体系。强化保护与运营服务，支持服务机构开展知识产权转化运用、法律诉讼、仲裁调解、融资保险、证券化等服务。鼓励服务机构开展知识产权战略咨询、风险评估、尽职调查等服务，为企业上市、并购重组提供专业支撑。引导服务机构在贸易往来密集的国家和地区设立分支机构或代表处，为企业海外投资、品牌和技术合作提供知识产权布局、风险预测预警、海外纠纷应对、标准必要专利指引等专业服务。支持行业组织开展前沿趋势研究，参与知识产权国际交流合作。</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（三）分级培育和引进品牌化高端服务机构。</w:t>
      </w:r>
      <w:r>
        <w:rPr>
          <w:rFonts w:hint="eastAsia" w:ascii="方正仿宋_GBK" w:hAnsi="方正仿宋_GBK" w:eastAsia="方正仿宋_GBK" w:cs="方正仿宋_GBK"/>
          <w:sz w:val="32"/>
          <w:szCs w:val="32"/>
        </w:rPr>
        <w:t>实施知识产权服务主体分级培育策略，鼓励和引导中小型机构聚焦细分领域，往“精细化、特色化”方向深耕；支持和推动大型机构提供全链条知识产权服务，打造具有行业影响力的特色品牌，往“品牌化、国际化”方向升级。积极引进优质高端服务资源，重点聚焦具有全国影响力的综合性或专业化龙头服务机构，鼓励其在渝设立区域总部或分支机构</w:t>
      </w:r>
      <w:r>
        <w:rPr>
          <w:rFonts w:hint="eastAsia" w:ascii="方正仿宋_GBK" w:hAnsi="方正仿宋_GBK" w:eastAsia="方正仿宋_GBK" w:cs="方正仿宋_GBK"/>
          <w:color w:val="171A1D"/>
          <w:sz w:val="32"/>
          <w:szCs w:val="32"/>
          <w:shd w:val="clear" w:color="auto" w:fill="FFFFFF"/>
          <w:lang w:bidi="ar"/>
        </w:rPr>
        <w:t>。</w:t>
      </w:r>
    </w:p>
    <w:p>
      <w:pPr>
        <w:adjustRightInd w:val="0"/>
        <w:snapToGrid w:val="0"/>
        <w:spacing w:line="640" w:lineRule="exact"/>
        <w:ind w:firstLine="640" w:firstLineChars="20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二、完善知识产权服务体系建设</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（四）强化区域资源协同。</w:t>
      </w:r>
      <w:r>
        <w:rPr>
          <w:rFonts w:hint="eastAsia" w:ascii="方正仿宋_GBK" w:hAnsi="方正仿宋_GBK" w:eastAsia="方正仿宋_GBK" w:cs="方正仿宋_GBK"/>
          <w:sz w:val="32"/>
          <w:szCs w:val="32"/>
        </w:rPr>
        <w:t>深度融入成渝地区双城经济圈建设，深化沪渝知识产权服务业区域协作，加强与西部陆海新通道沿线地区、长江经济带省市的合作，推动区域服务资源共享、人才互聘等工作，构建内外联动的知识产权服务网络。支持有条件的区县开展国家知识产权服务业高质量集聚发展示范区建设，积极引导渝东北、渝东南地区引进优质服务资源，建立“区县需求+服务机构”服务结对机制，有效弥补区域服务短板。</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（五）完善公共服务体系。</w:t>
      </w:r>
      <w:r>
        <w:rPr>
          <w:rFonts w:hint="eastAsia" w:ascii="方正仿宋_GBK" w:hAnsi="方正仿宋_GBK" w:eastAsia="方正仿宋_GBK" w:cs="方正仿宋_GBK"/>
          <w:sz w:val="32"/>
          <w:szCs w:val="32"/>
        </w:rPr>
        <w:t>深入实施知识产权普惠工程，积极构建便民利民的知识产权公共服务体系。优化知识产权公共服务网络布局，分层级建设“市—区（县）—园区”公共服务体系，推动区县政务服务大厅创建综合性知识产权服务窗口。建立健全公共服务机构管理规范，推动公共服务与创新主体需求精准对接，构建中心城区“半小时服务圈”。通过“重庆知识产权在线”数字化应用，集成全市服务资源、工具和软件，构建在线知识产权服务矩阵，提升利企便民效能。实施“知识产权公共服务惠企行动”，组织服务机构为企业提供知识产权咨询、信息检索、维权援助等服务，提升企业知识产权创造、运用、保护和管理能力，助力创新型企业发展、民营企业壮大和中小企业成长。</w:t>
      </w:r>
    </w:p>
    <w:p>
      <w:pPr>
        <w:adjustRightInd w:val="0"/>
        <w:snapToGrid w:val="0"/>
        <w:spacing w:line="640" w:lineRule="exact"/>
        <w:ind w:firstLine="640" w:firstLineChars="20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三、优化知识产权服务业发展环境</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（六）构建“一体化”服务行业监管机制。</w:t>
      </w:r>
      <w:r>
        <w:rPr>
          <w:rFonts w:hint="eastAsia" w:ascii="方正仿宋_GBK" w:hAnsi="方正仿宋_GBK" w:eastAsia="方正仿宋_GBK" w:cs="方正仿宋_GBK"/>
          <w:b w:val="0"/>
          <w:bCs w:val="0"/>
          <w:sz w:val="32"/>
          <w:szCs w:val="32"/>
        </w:rPr>
        <w:t>持续</w:t>
      </w:r>
      <w:r>
        <w:rPr>
          <w:rFonts w:hint="eastAsia" w:ascii="方正仿宋_GBK" w:hAnsi="方正仿宋_GBK" w:eastAsia="方正仿宋_GBK" w:cs="方正仿宋_GBK"/>
          <w:sz w:val="32"/>
          <w:szCs w:val="32"/>
        </w:rPr>
        <w:t>优化知识产权领域营商环境，落实“双随机、一公开”监管，加强对新设机构及从业人员的指导，综合运用行政指导、约谈整改、行政处罚等方式，建立健全信用评价、分级分类监管及联合惩戒机制，促进行业健康发展。会同市场监管、公安等部门形成监管合力，依法打击编造专利申请、大量代理非正常专利申请、代理恶意商标申请、以不正当手段招揽业务等违法违规行为，维护行业秩序。深入开展行风建设，强化行业组织在政策宣传贯彻、诉求反映等方面的作用，积极发挥行业协会的自律功能，引导知识产权服务机构良性有序发展。强化服务机构主体责任意识，引导服务机构建立健全内部质量控制体系，严格落实服务质量承诺制。畅通社会监督渠道，鼓励新闻媒体、第三方机构开展服务质量评估。探索建立专利代理质量监测与预警机制，建立服务业年度统计制度，发布《重庆市知识产权服务业发展报告》。</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（七）加强服务业标准化、智慧化建设。</w:t>
      </w:r>
      <w:r>
        <w:rPr>
          <w:rFonts w:hint="eastAsia" w:ascii="方正仿宋_GBK" w:hAnsi="方正仿宋_GBK" w:eastAsia="方正仿宋_GBK" w:cs="方正仿宋_GBK"/>
          <w:sz w:val="32"/>
          <w:szCs w:val="32"/>
        </w:rPr>
        <w:t>持续完善知识产权公共服务规范标准体系，建设一批专业化、特色化的知识产权公共服务机构。支持行业组织制定知识产权服务业务指引，推动服务机构标准化、规范化发展。引导服务机构贯彻实施国家服务规范标准，鼓励行业协会、社会团体和服务机构积极参与知识产权服务业标准体系建设，提升行业规范化水平。鼓励服务机构利用大数据、云计算、区块链、人工智能等现代信息和数字技术，开发适配市场需求的数字化工具或服务产品，培育一批数字化、智能化服务机构，加速知识产权服务模式数智化转型，以更好满足市场主体个性化、多样化服务需求。</w:t>
      </w:r>
    </w:p>
    <w:p>
      <w:pPr>
        <w:adjustRightInd w:val="0"/>
        <w:snapToGrid w:val="0"/>
        <w:spacing w:line="640" w:lineRule="exact"/>
        <w:ind w:firstLine="640" w:firstLineChars="20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四、夯实知识产权服务业发展根基</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（八）加强人才队伍建设。</w:t>
      </w:r>
      <w:r>
        <w:rPr>
          <w:rFonts w:hint="eastAsia" w:ascii="方正仿宋_GBK" w:hAnsi="方正仿宋_GBK" w:eastAsia="方正仿宋_GBK" w:cs="方正仿宋_GBK"/>
          <w:sz w:val="32"/>
          <w:szCs w:val="32"/>
        </w:rPr>
        <w:t>健全知识产权人才分类培训体系，开展川渝、沪渝等知识产权教育培训合作，实施知识产权培训项目，探索打造模块化知识产权培训课程库，培养卓越知识产权服务人才。鼓励区县出台优惠政策吸引知识产权高层次人才，设立知识产权人才资助资金，激发人才积极性和创造性。优化评价激励机制，组织开展职业技能评比和赛事活动，持续推动中国专利奖、重庆专利奖获奖人员参评高级职称。构建知识产权公共服务人才库，提升人才使用效能，契合重点产业发展需求。</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（九）加大政策支持力度。</w:t>
      </w:r>
      <w:r>
        <w:rPr>
          <w:rFonts w:hint="eastAsia" w:ascii="方正仿宋_GBK" w:hAnsi="方正仿宋_GBK" w:eastAsia="方正仿宋_GBK" w:cs="方正仿宋_GBK"/>
          <w:sz w:val="32"/>
          <w:szCs w:val="32"/>
        </w:rPr>
        <w:t>加大知识产权服务业高质量发展激励政策支持力度，提升知识产权服务机构整体水平。对发明专利授权率达到当年全国平均水平，且发明专利代理量达到当年全市代理机构平均数量的代理服务机构，按照发明专利授权率排名予以奖励。支持符合条件的服务机构申报高新技术企业、专精特新中小企业等。鼓励金融机构开发适应知识产权服务业特点的金融和保险等产品，为服务机构发展提供有力支持。引导各类知识产权运营基金重点支持知识产权运营服务业态发展。鼓励区县设立知识产权服务高质量发展专项资金。</w:t>
      </w:r>
    </w:p>
    <w:p>
      <w:pPr>
        <w:adjustRightInd w:val="0"/>
        <w:snapToGrid w:val="0"/>
        <w:spacing w:line="640" w:lineRule="exact"/>
        <w:ind w:firstLine="640" w:firstLineChars="200"/>
        <w:rPr>
          <w:rFonts w:hint="eastAsia" w:ascii="方正仿宋_GBK" w:hAnsi="方正仿宋_GBK" w:eastAsia="方正仿宋_GBK" w:cs="方正仿宋_GBK"/>
          <w:sz w:val="32"/>
          <w:szCs w:val="32"/>
        </w:rPr>
      </w:pPr>
      <w:r>
        <w:rPr>
          <w:rFonts w:hint="eastAsia" w:ascii="方正楷体_GBK" w:hAnsi="方正楷体_GBK" w:eastAsia="方正楷体_GBK" w:cs="方正楷体_GBK"/>
          <w:b w:val="0"/>
          <w:bCs w:val="0"/>
          <w:sz w:val="32"/>
          <w:szCs w:val="32"/>
        </w:rPr>
        <w:t>（十）营造浓厚的宣传氛围。</w:t>
      </w:r>
      <w:r>
        <w:rPr>
          <w:rFonts w:hint="eastAsia" w:ascii="方正仿宋_GBK" w:hAnsi="方正仿宋_GBK" w:eastAsia="方正仿宋_GBK" w:cs="方正仿宋_GBK"/>
          <w:sz w:val="32"/>
          <w:szCs w:val="32"/>
        </w:rPr>
        <w:t>通过政府官方网站、政务新媒体等渠道，广泛宣传优秀服务机构和优秀从业人员的创新服务模式及典型案例。支持策划并举办知识产权服务行业领域的峰会、论坛、推介等主题活动，搭建行业交流平台，进一步提升重庆知识产权服务业的知名度和影响力。依托全国知识产权宣传周、知识产权服务万里行等重要活动，组织开展进园区、进企业、进高校等科普宣传活动，推动形成全社会共同支持服务业发展的良好氛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本措施自发布之日起正式实施，有效期至</w:t>
      </w:r>
      <w:r>
        <w:rPr>
          <w:rFonts w:hint="default" w:ascii="Times New Roman" w:hAnsi="Times New Roman" w:eastAsia="方正仿宋_GBK" w:cs="Times New Roman"/>
          <w:sz w:val="32"/>
          <w:szCs w:val="32"/>
        </w:rPr>
        <w:t>2030</w:t>
      </w:r>
      <w:r>
        <w:rPr>
          <w:rFonts w:hint="eastAsia" w:ascii="方正仿宋_GBK" w:hAnsi="方正仿宋_GBK" w:eastAsia="方正仿宋_GBK" w:cs="方正仿宋_GBK"/>
          <w:sz w:val="32"/>
          <w:szCs w:val="32"/>
        </w:rPr>
        <w:t>年。</w:t>
      </w:r>
    </w:p>
    <w:sectPr>
      <w:footerReference r:id="rId3" w:type="default"/>
      <w:pgSz w:w="11906" w:h="16838"/>
      <w:pgMar w:top="2098" w:right="1531" w:bottom="1984" w:left="1531"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5F40C807-FF2F-4C8E-9596-F99E68E366FA}"/>
  </w:font>
  <w:font w:name="Arial">
    <w:panose1 w:val="020B0604020202020204"/>
    <w:charset w:val="00"/>
    <w:family w:val="swiss"/>
    <w:pitch w:val="default"/>
    <w:sig w:usb0="E0002A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embedRegular r:id="rId2" w:fontKey="{CEF2F4D7-1915-4064-A932-C7D3CC9513FB}"/>
  </w:font>
  <w:font w:name="方正仿宋_GB2312">
    <w:altName w:val="微软雅黑"/>
    <w:panose1 w:val="00000000000000000000"/>
    <w:charset w:val="86"/>
    <w:family w:val="auto"/>
    <w:pitch w:val="default"/>
    <w:sig w:usb0="00000000" w:usb1="00000000" w:usb2="00000012" w:usb3="00000000" w:csb0="00040001" w:csb1="00000000"/>
    <w:embedRegular r:id="rId3" w:fontKey="{B4553CFA-7AEE-4FCC-B8CB-2B1AFB891592}"/>
  </w:font>
  <w:font w:name="方正黑体_GBK">
    <w:panose1 w:val="03000509000000000000"/>
    <w:charset w:val="86"/>
    <w:family w:val="script"/>
    <w:pitch w:val="default"/>
    <w:sig w:usb0="00000001" w:usb1="080E0000" w:usb2="00000000" w:usb3="00000000" w:csb0="00040000" w:csb1="00000000"/>
    <w:embedRegular r:id="rId4" w:fontKey="{786BDC19-1E30-4285-A172-5071FAEEF516}"/>
  </w:font>
  <w:font w:name="方正楷体_GBK">
    <w:panose1 w:val="03000509000000000000"/>
    <w:charset w:val="86"/>
    <w:family w:val="script"/>
    <w:pitch w:val="default"/>
    <w:sig w:usb0="00000001" w:usb1="080E0000" w:usb2="00000000" w:usb3="00000000" w:csb0="00040000" w:csb1="00000000"/>
    <w:embedRegular r:id="rId5" w:fontKey="{AFD4DCB0-9438-4BC4-9C77-A36AE91EA065}"/>
  </w:font>
  <w:font w:name="方正仿宋_GBK">
    <w:panose1 w:val="03000509000000000000"/>
    <w:charset w:val="86"/>
    <w:family w:val="script"/>
    <w:pitch w:val="default"/>
    <w:sig w:usb0="00000001" w:usb1="080E0000" w:usb2="00000000" w:usb3="00000000" w:csb0="00040000" w:csb1="00000000"/>
    <w:embedRegular r:id="rId6" w:fontKey="{5EADCB79-399C-42F7-AE90-F8B18D3E4FF9}"/>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isplayBackgroundShape w:val="1"/>
  <w:embedTrueTypeFonts/>
  <w:saveSubsetFonts/>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5C2"/>
    <w:rsid w:val="00044D57"/>
    <w:rsid w:val="00180916"/>
    <w:rsid w:val="003C5C97"/>
    <w:rsid w:val="004E1AA6"/>
    <w:rsid w:val="00627E6B"/>
    <w:rsid w:val="00A565C2"/>
    <w:rsid w:val="00CA5500"/>
    <w:rsid w:val="00FA4DA7"/>
    <w:rsid w:val="0124265B"/>
    <w:rsid w:val="01255120"/>
    <w:rsid w:val="02D0244B"/>
    <w:rsid w:val="02D43072"/>
    <w:rsid w:val="02FF7200"/>
    <w:rsid w:val="030F42DA"/>
    <w:rsid w:val="03C27747"/>
    <w:rsid w:val="03EF5EB9"/>
    <w:rsid w:val="03F851BC"/>
    <w:rsid w:val="046D5A26"/>
    <w:rsid w:val="04D02921"/>
    <w:rsid w:val="04DC01EC"/>
    <w:rsid w:val="061F458C"/>
    <w:rsid w:val="06556A25"/>
    <w:rsid w:val="070A4384"/>
    <w:rsid w:val="078A03D3"/>
    <w:rsid w:val="07A93A4E"/>
    <w:rsid w:val="07AB3B96"/>
    <w:rsid w:val="08AB6853"/>
    <w:rsid w:val="08D134AC"/>
    <w:rsid w:val="093210E5"/>
    <w:rsid w:val="09B33E79"/>
    <w:rsid w:val="09E6476D"/>
    <w:rsid w:val="0A632019"/>
    <w:rsid w:val="0AE91E42"/>
    <w:rsid w:val="0B1A7CC0"/>
    <w:rsid w:val="0B8F74A2"/>
    <w:rsid w:val="0B963874"/>
    <w:rsid w:val="0B9B01CF"/>
    <w:rsid w:val="0C5C6184"/>
    <w:rsid w:val="0CBA2FB5"/>
    <w:rsid w:val="0D0D64BE"/>
    <w:rsid w:val="0D942D77"/>
    <w:rsid w:val="0D9A07EA"/>
    <w:rsid w:val="0E2055ED"/>
    <w:rsid w:val="0E575087"/>
    <w:rsid w:val="0E7267F7"/>
    <w:rsid w:val="0EEF3C8B"/>
    <w:rsid w:val="0FCB1A0B"/>
    <w:rsid w:val="105552F6"/>
    <w:rsid w:val="10AE4665"/>
    <w:rsid w:val="10FB6A78"/>
    <w:rsid w:val="116457F1"/>
    <w:rsid w:val="11AD6919"/>
    <w:rsid w:val="12C8390D"/>
    <w:rsid w:val="137D0DEC"/>
    <w:rsid w:val="145C1121"/>
    <w:rsid w:val="14977D84"/>
    <w:rsid w:val="14AD74AF"/>
    <w:rsid w:val="14D57F80"/>
    <w:rsid w:val="154047C7"/>
    <w:rsid w:val="15B8435D"/>
    <w:rsid w:val="15D6558F"/>
    <w:rsid w:val="15DF5D8E"/>
    <w:rsid w:val="16225C7A"/>
    <w:rsid w:val="166444E5"/>
    <w:rsid w:val="167D1103"/>
    <w:rsid w:val="17030C83"/>
    <w:rsid w:val="17260EBA"/>
    <w:rsid w:val="17283764"/>
    <w:rsid w:val="172C5003"/>
    <w:rsid w:val="17A148F0"/>
    <w:rsid w:val="17C34DED"/>
    <w:rsid w:val="186407CC"/>
    <w:rsid w:val="18D75B41"/>
    <w:rsid w:val="19FB5098"/>
    <w:rsid w:val="1A2E7004"/>
    <w:rsid w:val="1A595342"/>
    <w:rsid w:val="1B034133"/>
    <w:rsid w:val="1B622E08"/>
    <w:rsid w:val="1B8D1DE8"/>
    <w:rsid w:val="1BB27EE9"/>
    <w:rsid w:val="1CF10155"/>
    <w:rsid w:val="1D646B79"/>
    <w:rsid w:val="1E18008F"/>
    <w:rsid w:val="1E481B1D"/>
    <w:rsid w:val="1E4A14A1"/>
    <w:rsid w:val="1E4C12EA"/>
    <w:rsid w:val="1E984D2C"/>
    <w:rsid w:val="1ECC1E36"/>
    <w:rsid w:val="1EE55EA2"/>
    <w:rsid w:val="1F8D23B7"/>
    <w:rsid w:val="1F8D36AC"/>
    <w:rsid w:val="1F8E612F"/>
    <w:rsid w:val="1F9C2C7C"/>
    <w:rsid w:val="1FE16BA6"/>
    <w:rsid w:val="202076CF"/>
    <w:rsid w:val="21292D5F"/>
    <w:rsid w:val="21884760"/>
    <w:rsid w:val="22223D21"/>
    <w:rsid w:val="225C3164"/>
    <w:rsid w:val="22E91FFA"/>
    <w:rsid w:val="23024E6A"/>
    <w:rsid w:val="23097A3C"/>
    <w:rsid w:val="232D4790"/>
    <w:rsid w:val="23D7691E"/>
    <w:rsid w:val="23DD6BA5"/>
    <w:rsid w:val="24376272"/>
    <w:rsid w:val="25781413"/>
    <w:rsid w:val="25DC5E46"/>
    <w:rsid w:val="261F3353"/>
    <w:rsid w:val="27291C00"/>
    <w:rsid w:val="27345D06"/>
    <w:rsid w:val="27B40C6B"/>
    <w:rsid w:val="28333D17"/>
    <w:rsid w:val="28420131"/>
    <w:rsid w:val="28624148"/>
    <w:rsid w:val="2874353F"/>
    <w:rsid w:val="28941C88"/>
    <w:rsid w:val="28AB1AFF"/>
    <w:rsid w:val="28FB2A87"/>
    <w:rsid w:val="296E29B3"/>
    <w:rsid w:val="299F6C81"/>
    <w:rsid w:val="29FE4DE3"/>
    <w:rsid w:val="2A047719"/>
    <w:rsid w:val="2AF7102C"/>
    <w:rsid w:val="2B2B36C1"/>
    <w:rsid w:val="2C284156"/>
    <w:rsid w:val="2C567FD4"/>
    <w:rsid w:val="2D0B5674"/>
    <w:rsid w:val="2D0D054B"/>
    <w:rsid w:val="2DFA59A4"/>
    <w:rsid w:val="2ED31DB0"/>
    <w:rsid w:val="2EF64FDD"/>
    <w:rsid w:val="2EFA5ADE"/>
    <w:rsid w:val="2F2820FC"/>
    <w:rsid w:val="2FD60D8D"/>
    <w:rsid w:val="3011493E"/>
    <w:rsid w:val="31592A40"/>
    <w:rsid w:val="318F6D5C"/>
    <w:rsid w:val="320766D8"/>
    <w:rsid w:val="32CA607C"/>
    <w:rsid w:val="33A064D1"/>
    <w:rsid w:val="33AA6135"/>
    <w:rsid w:val="33DB5CD5"/>
    <w:rsid w:val="33FF032A"/>
    <w:rsid w:val="349D2C44"/>
    <w:rsid w:val="349F7963"/>
    <w:rsid w:val="3535470A"/>
    <w:rsid w:val="353731C1"/>
    <w:rsid w:val="368F749D"/>
    <w:rsid w:val="36D967BD"/>
    <w:rsid w:val="36EC1C61"/>
    <w:rsid w:val="37AD44E0"/>
    <w:rsid w:val="391F339F"/>
    <w:rsid w:val="3947398A"/>
    <w:rsid w:val="39961503"/>
    <w:rsid w:val="39B822CE"/>
    <w:rsid w:val="39C63675"/>
    <w:rsid w:val="39FC040D"/>
    <w:rsid w:val="3A3E6C77"/>
    <w:rsid w:val="3AC15A7F"/>
    <w:rsid w:val="3ADB28BD"/>
    <w:rsid w:val="3ADF0021"/>
    <w:rsid w:val="3AEB54BA"/>
    <w:rsid w:val="3B1A1A56"/>
    <w:rsid w:val="3B5878C5"/>
    <w:rsid w:val="3B5D0CB9"/>
    <w:rsid w:val="3B750477"/>
    <w:rsid w:val="3B986F4A"/>
    <w:rsid w:val="3BA66882"/>
    <w:rsid w:val="3BC57C48"/>
    <w:rsid w:val="3BED15CB"/>
    <w:rsid w:val="3D0602C7"/>
    <w:rsid w:val="3D5F69D1"/>
    <w:rsid w:val="3D78424E"/>
    <w:rsid w:val="3D7C2DED"/>
    <w:rsid w:val="3E4530FC"/>
    <w:rsid w:val="3E815385"/>
    <w:rsid w:val="3EB76FF8"/>
    <w:rsid w:val="3EC51F9A"/>
    <w:rsid w:val="3FA27361"/>
    <w:rsid w:val="40E340D5"/>
    <w:rsid w:val="41850CE8"/>
    <w:rsid w:val="41A81CAD"/>
    <w:rsid w:val="41B05744"/>
    <w:rsid w:val="424726D6"/>
    <w:rsid w:val="42565461"/>
    <w:rsid w:val="429733C9"/>
    <w:rsid w:val="42F112EB"/>
    <w:rsid w:val="430F0462"/>
    <w:rsid w:val="4359067E"/>
    <w:rsid w:val="437F642D"/>
    <w:rsid w:val="43931B6A"/>
    <w:rsid w:val="43FB7987"/>
    <w:rsid w:val="43FD725B"/>
    <w:rsid w:val="441B3C3E"/>
    <w:rsid w:val="44FE14DD"/>
    <w:rsid w:val="45E36CC9"/>
    <w:rsid w:val="46072613"/>
    <w:rsid w:val="4618037D"/>
    <w:rsid w:val="46906E37"/>
    <w:rsid w:val="46D71C75"/>
    <w:rsid w:val="475E2707"/>
    <w:rsid w:val="47A77058"/>
    <w:rsid w:val="47B01F0F"/>
    <w:rsid w:val="4828061F"/>
    <w:rsid w:val="48E15695"/>
    <w:rsid w:val="49284DB8"/>
    <w:rsid w:val="49345C60"/>
    <w:rsid w:val="4A0A4DA4"/>
    <w:rsid w:val="4A5F0FFE"/>
    <w:rsid w:val="4A7C58D8"/>
    <w:rsid w:val="4A8C4C68"/>
    <w:rsid w:val="4AB975A2"/>
    <w:rsid w:val="4B056ADB"/>
    <w:rsid w:val="4B871B00"/>
    <w:rsid w:val="4C765DFD"/>
    <w:rsid w:val="4C8F6638"/>
    <w:rsid w:val="4CF7759D"/>
    <w:rsid w:val="4D1216E3"/>
    <w:rsid w:val="4D550108"/>
    <w:rsid w:val="4D7A111E"/>
    <w:rsid w:val="4DA024E2"/>
    <w:rsid w:val="4DB727B3"/>
    <w:rsid w:val="4DBC69CD"/>
    <w:rsid w:val="4DD1534D"/>
    <w:rsid w:val="4ED72839"/>
    <w:rsid w:val="4F2A32DC"/>
    <w:rsid w:val="4FC76AE5"/>
    <w:rsid w:val="500656EA"/>
    <w:rsid w:val="50792360"/>
    <w:rsid w:val="508D7B40"/>
    <w:rsid w:val="50A02D8D"/>
    <w:rsid w:val="51613C91"/>
    <w:rsid w:val="517E1341"/>
    <w:rsid w:val="51BA311A"/>
    <w:rsid w:val="51F24178"/>
    <w:rsid w:val="52170B44"/>
    <w:rsid w:val="522824AD"/>
    <w:rsid w:val="52406284"/>
    <w:rsid w:val="524F15CA"/>
    <w:rsid w:val="536651D5"/>
    <w:rsid w:val="537952A2"/>
    <w:rsid w:val="53EF3D9D"/>
    <w:rsid w:val="53F146EA"/>
    <w:rsid w:val="5409300A"/>
    <w:rsid w:val="5470318B"/>
    <w:rsid w:val="549F0C18"/>
    <w:rsid w:val="54B7140B"/>
    <w:rsid w:val="54D73556"/>
    <w:rsid w:val="550B518F"/>
    <w:rsid w:val="55186629"/>
    <w:rsid w:val="556C5C5B"/>
    <w:rsid w:val="55B732D0"/>
    <w:rsid w:val="55BA1D17"/>
    <w:rsid w:val="57C03632"/>
    <w:rsid w:val="57CC79AB"/>
    <w:rsid w:val="57E06152"/>
    <w:rsid w:val="583A0626"/>
    <w:rsid w:val="585F1E3B"/>
    <w:rsid w:val="587C2BCE"/>
    <w:rsid w:val="595F3200"/>
    <w:rsid w:val="5A9867BA"/>
    <w:rsid w:val="5B015153"/>
    <w:rsid w:val="5B2142CA"/>
    <w:rsid w:val="5B2858E9"/>
    <w:rsid w:val="5B55578B"/>
    <w:rsid w:val="5B9F07F8"/>
    <w:rsid w:val="5C62014C"/>
    <w:rsid w:val="5D0B6AE7"/>
    <w:rsid w:val="5D9D301A"/>
    <w:rsid w:val="5DF42171"/>
    <w:rsid w:val="5DF72B16"/>
    <w:rsid w:val="5E392465"/>
    <w:rsid w:val="5E7B54F5"/>
    <w:rsid w:val="5E9A7920"/>
    <w:rsid w:val="5EAB5111"/>
    <w:rsid w:val="5ECD6940"/>
    <w:rsid w:val="5EEB4428"/>
    <w:rsid w:val="5F221E14"/>
    <w:rsid w:val="5FCB36AD"/>
    <w:rsid w:val="601312E9"/>
    <w:rsid w:val="60D55E27"/>
    <w:rsid w:val="61C20E62"/>
    <w:rsid w:val="61E23AB8"/>
    <w:rsid w:val="620121B5"/>
    <w:rsid w:val="62691FDB"/>
    <w:rsid w:val="635F53E5"/>
    <w:rsid w:val="63953B75"/>
    <w:rsid w:val="63A135C5"/>
    <w:rsid w:val="63D77671"/>
    <w:rsid w:val="64243668"/>
    <w:rsid w:val="6440415D"/>
    <w:rsid w:val="6527711A"/>
    <w:rsid w:val="6689396F"/>
    <w:rsid w:val="66C12FC9"/>
    <w:rsid w:val="67136C12"/>
    <w:rsid w:val="67D35781"/>
    <w:rsid w:val="681123DD"/>
    <w:rsid w:val="68197A30"/>
    <w:rsid w:val="686457A3"/>
    <w:rsid w:val="687803F6"/>
    <w:rsid w:val="68866E1A"/>
    <w:rsid w:val="68E83471"/>
    <w:rsid w:val="693B5FAC"/>
    <w:rsid w:val="69692B1A"/>
    <w:rsid w:val="69C50C4F"/>
    <w:rsid w:val="69EC5E93"/>
    <w:rsid w:val="6A1F3D5D"/>
    <w:rsid w:val="6A3A7A70"/>
    <w:rsid w:val="6AB03F1E"/>
    <w:rsid w:val="6AC72890"/>
    <w:rsid w:val="6AE44AD1"/>
    <w:rsid w:val="6B5C55D8"/>
    <w:rsid w:val="6BDB4BDA"/>
    <w:rsid w:val="6BF36941"/>
    <w:rsid w:val="6C2211F6"/>
    <w:rsid w:val="6CB50326"/>
    <w:rsid w:val="6CB52B4C"/>
    <w:rsid w:val="6D306837"/>
    <w:rsid w:val="6DEE5CE3"/>
    <w:rsid w:val="6DFC4F9B"/>
    <w:rsid w:val="6E3C625D"/>
    <w:rsid w:val="6ED21161"/>
    <w:rsid w:val="6F7443B8"/>
    <w:rsid w:val="6F767D3E"/>
    <w:rsid w:val="6F987060"/>
    <w:rsid w:val="709B5583"/>
    <w:rsid w:val="719055AD"/>
    <w:rsid w:val="719A391A"/>
    <w:rsid w:val="722D66AE"/>
    <w:rsid w:val="7257410C"/>
    <w:rsid w:val="74864914"/>
    <w:rsid w:val="751853F4"/>
    <w:rsid w:val="753F6E24"/>
    <w:rsid w:val="75645430"/>
    <w:rsid w:val="75F27DE6"/>
    <w:rsid w:val="76B96A12"/>
    <w:rsid w:val="77473573"/>
    <w:rsid w:val="778B603F"/>
    <w:rsid w:val="77B96D29"/>
    <w:rsid w:val="78E458AA"/>
    <w:rsid w:val="79155B65"/>
    <w:rsid w:val="792D7A1C"/>
    <w:rsid w:val="794C632B"/>
    <w:rsid w:val="79C7267B"/>
    <w:rsid w:val="79CF4C86"/>
    <w:rsid w:val="79FD47FB"/>
    <w:rsid w:val="7A26785B"/>
    <w:rsid w:val="7A326CE5"/>
    <w:rsid w:val="7A404CB9"/>
    <w:rsid w:val="7A6B77DD"/>
    <w:rsid w:val="7A835A05"/>
    <w:rsid w:val="7AF163B9"/>
    <w:rsid w:val="7AF75AAB"/>
    <w:rsid w:val="7B67571A"/>
    <w:rsid w:val="7BA10DE3"/>
    <w:rsid w:val="7BE56C84"/>
    <w:rsid w:val="7C2A6858"/>
    <w:rsid w:val="7CFF3A91"/>
    <w:rsid w:val="7DF033B2"/>
    <w:rsid w:val="7E1E125B"/>
    <w:rsid w:val="7E204446"/>
    <w:rsid w:val="7E693B75"/>
    <w:rsid w:val="7E757C4A"/>
    <w:rsid w:val="7E851D4C"/>
    <w:rsid w:val="7F1B620C"/>
    <w:rsid w:val="7FDB57D8"/>
    <w:rsid w:val="7FE22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next w:val="1"/>
    <w:qFormat/>
    <w:uiPriority w:val="0"/>
    <w:pPr>
      <w:spacing w:before="380" w:after="140" w:line="288" w:lineRule="auto"/>
      <w:outlineLvl w:val="0"/>
    </w:pPr>
    <w:rPr>
      <w:rFonts w:ascii="Arial" w:hAnsi="Arial" w:eastAsia="等线" w:cs="Arial"/>
      <w:b/>
      <w:bCs/>
      <w:sz w:val="36"/>
      <w:szCs w:val="36"/>
      <w:lang w:val="en-US" w:eastAsia="zh-CN" w:bidi="ar-SA"/>
    </w:rPr>
  </w:style>
  <w:style w:type="paragraph" w:styleId="3">
    <w:name w:val="heading 2"/>
    <w:next w:val="1"/>
    <w:qFormat/>
    <w:uiPriority w:val="0"/>
    <w:pPr>
      <w:spacing w:before="320" w:after="120" w:line="288" w:lineRule="auto"/>
      <w:outlineLvl w:val="1"/>
    </w:pPr>
    <w:rPr>
      <w:rFonts w:ascii="Arial" w:hAnsi="Arial" w:eastAsia="等线" w:cs="Arial"/>
      <w:b/>
      <w:bCs/>
      <w:sz w:val="32"/>
      <w:szCs w:val="32"/>
      <w:lang w:val="en-US" w:eastAsia="zh-CN" w:bidi="ar-SA"/>
    </w:rPr>
  </w:style>
  <w:style w:type="paragraph" w:styleId="4">
    <w:name w:val="heading 3"/>
    <w:next w:val="1"/>
    <w:qFormat/>
    <w:uiPriority w:val="0"/>
    <w:pPr>
      <w:spacing w:before="300" w:after="120" w:line="288" w:lineRule="auto"/>
      <w:outlineLvl w:val="2"/>
    </w:pPr>
    <w:rPr>
      <w:rFonts w:ascii="Arial" w:hAnsi="Arial" w:eastAsia="等线" w:cs="Arial"/>
      <w:b/>
      <w:bCs/>
      <w:sz w:val="30"/>
      <w:szCs w:val="30"/>
      <w:lang w:val="en-US" w:eastAsia="zh-CN" w:bidi="ar-SA"/>
    </w:rPr>
  </w:style>
  <w:style w:type="paragraph" w:styleId="5">
    <w:name w:val="heading 4"/>
    <w:next w:val="1"/>
    <w:qFormat/>
    <w:uiPriority w:val="0"/>
    <w:pPr>
      <w:spacing w:before="260" w:after="120" w:line="288" w:lineRule="auto"/>
      <w:outlineLvl w:val="3"/>
    </w:pPr>
    <w:rPr>
      <w:rFonts w:ascii="Arial" w:hAnsi="Arial" w:eastAsia="等线" w:cs="Arial"/>
      <w:b/>
      <w:bCs/>
      <w:sz w:val="28"/>
      <w:szCs w:val="28"/>
      <w:lang w:val="en-US" w:eastAsia="zh-CN" w:bidi="ar-SA"/>
    </w:rPr>
  </w:style>
  <w:style w:type="paragraph" w:styleId="6">
    <w:name w:val="heading 5"/>
    <w:next w:val="1"/>
    <w:qFormat/>
    <w:uiPriority w:val="0"/>
    <w:pPr>
      <w:spacing w:before="240" w:after="120" w:line="288" w:lineRule="auto"/>
      <w:outlineLvl w:val="4"/>
    </w:pPr>
    <w:rPr>
      <w:rFonts w:ascii="Arial" w:hAnsi="Arial" w:eastAsia="等线" w:cs="Arial"/>
      <w:b/>
      <w:bCs/>
      <w:sz w:val="24"/>
      <w:szCs w:val="24"/>
      <w:lang w:val="en-US" w:eastAsia="zh-CN" w:bidi="ar-SA"/>
    </w:rPr>
  </w:style>
  <w:style w:type="paragraph" w:styleId="7">
    <w:name w:val="heading 6"/>
    <w:next w:val="1"/>
    <w:qFormat/>
    <w:uiPriority w:val="0"/>
    <w:pPr>
      <w:spacing w:before="240" w:after="120" w:line="288" w:lineRule="auto"/>
      <w:outlineLvl w:val="5"/>
    </w:pPr>
    <w:rPr>
      <w:rFonts w:ascii="Arial" w:hAnsi="Arial" w:eastAsia="等线" w:cs="Arial"/>
      <w:b/>
      <w:bCs/>
      <w:sz w:val="24"/>
      <w:szCs w:val="24"/>
      <w:lang w:val="en-US" w:eastAsia="zh-CN" w:bidi="ar-SA"/>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qFormat/>
    <w:uiPriority w:val="0"/>
    <w:pPr>
      <w:jc w:val="left"/>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footnote text"/>
    <w:link w:val="18"/>
    <w:semiHidden/>
    <w:unhideWhenUsed/>
    <w:qFormat/>
    <w:uiPriority w:val="99"/>
    <w:rPr>
      <w:rFonts w:asciiTheme="minorHAnsi" w:hAnsiTheme="minorHAnsi" w:eastAsiaTheme="minorEastAsia" w:cstheme="minorBidi"/>
      <w:lang w:val="en-US" w:eastAsia="zh-CN" w:bidi="ar-SA"/>
    </w:rPr>
  </w:style>
  <w:style w:type="paragraph" w:styleId="12">
    <w:name w:val="Title"/>
    <w:qFormat/>
    <w:uiPriority w:val="0"/>
    <w:pPr>
      <w:spacing w:before="480" w:after="480" w:line="288" w:lineRule="auto"/>
    </w:pPr>
    <w:rPr>
      <w:rFonts w:ascii="Arial" w:hAnsi="Arial" w:eastAsia="等线" w:cs="Arial"/>
      <w:b/>
      <w:bCs/>
      <w:sz w:val="52"/>
      <w:szCs w:val="52"/>
      <w:lang w:val="en-US" w:eastAsia="zh-CN" w:bidi="ar-SA"/>
    </w:rPr>
  </w:style>
  <w:style w:type="character" w:styleId="15">
    <w:name w:val="Hyperlink"/>
    <w:unhideWhenUsed/>
    <w:qFormat/>
    <w:uiPriority w:val="99"/>
    <w:rPr>
      <w:color w:val="0563C1"/>
      <w:u w:val="single"/>
    </w:rPr>
  </w:style>
  <w:style w:type="character" w:styleId="16">
    <w:name w:val="footnote reference"/>
    <w:semiHidden/>
    <w:unhideWhenUsed/>
    <w:qFormat/>
    <w:uiPriority w:val="99"/>
    <w:rPr>
      <w:vertAlign w:val="superscript"/>
    </w:rPr>
  </w:style>
  <w:style w:type="paragraph" w:styleId="17">
    <w:name w:val="List Paragraph"/>
    <w:qFormat/>
    <w:uiPriority w:val="0"/>
    <w:rPr>
      <w:rFonts w:asciiTheme="minorHAnsi" w:hAnsiTheme="minorHAnsi" w:eastAsiaTheme="minorEastAsia" w:cstheme="minorBidi"/>
      <w:sz w:val="21"/>
      <w:szCs w:val="22"/>
      <w:lang w:val="en-US" w:eastAsia="zh-CN" w:bidi="ar-SA"/>
    </w:rPr>
  </w:style>
  <w:style w:type="character" w:customStyle="1" w:styleId="18">
    <w:name w:val="脚注文本 字符"/>
    <w:link w:val="11"/>
    <w:semiHidden/>
    <w:unhideWhenUsed/>
    <w:qFormat/>
    <w:uiPriority w:val="99"/>
    <w:rPr>
      <w:sz w:val="20"/>
      <w:szCs w:val="20"/>
    </w:rPr>
  </w:style>
  <w:style w:type="paragraph" w:customStyle="1" w:styleId="19">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0">
    <w:name w:val="_Style 14"/>
    <w:qFormat/>
    <w:uiPriority w:val="0"/>
    <w:pPr>
      <w:spacing w:before="120" w:after="120" w:line="288" w:lineRule="auto"/>
    </w:pPr>
    <w:rPr>
      <w:rFonts w:ascii="Arial" w:hAnsi="Arial" w:eastAsia="等线" w:cs="Arial"/>
      <w:color w:val="8F959E"/>
      <w:sz w:val="22"/>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414</Words>
  <Characters>2364</Characters>
  <Lines>19</Lines>
  <Paragraphs>5</Paragraphs>
  <TotalTime>8</TotalTime>
  <ScaleCrop>false</ScaleCrop>
  <LinksUpToDate>false</LinksUpToDate>
  <CharactersWithSpaces>2773</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2025-11-07T08:26:00Z</dcterms:created>
  <dc:creator>Un-named</dc:creator>
  <cp:lastModifiedBy>沈雪旎</cp:lastModifiedBy>
  <dcterms:modified xsi:type="dcterms:W3CDTF">2026-03-17T03:24:11Z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AD52EC88A62B4CD0A137B3F86DF024DF_13</vt:lpwstr>
  </property>
  <property fmtid="{D5CDD505-2E9C-101B-9397-08002B2CF9AE}" pid="4" name="KSOTemplateDocerSaveRecord">
    <vt:lpwstr>eyJoZGlkIjoiZjAwOTg2Yzk4MzZiYTQwNjA5ZDU5Y2QyNzc3YzAxYzciLCJ1c2VySWQiOiI0MTU2NjE3OTcifQ==</vt:lpwstr>
  </property>
</Properties>
</file>