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96C" w:rsidRPr="0060696C" w:rsidRDefault="0060696C" w:rsidP="0060696C">
      <w:pPr>
        <w:widowControl/>
        <w:shd w:val="clear" w:color="auto" w:fill="FFFFFF"/>
        <w:jc w:val="left"/>
        <w:rPr>
          <w:rFonts w:ascii="微软雅黑" w:eastAsia="微软雅黑" w:hAnsi="微软雅黑" w:cs="宋体"/>
          <w:color w:val="666666"/>
          <w:kern w:val="0"/>
          <w:szCs w:val="21"/>
        </w:rPr>
      </w:pPr>
      <w:r w:rsidRPr="0060696C">
        <w:rPr>
          <w:rFonts w:ascii="宋体" w:eastAsia="宋体" w:hAnsi="宋体" w:cs="宋体" w:hint="eastAsia"/>
          <w:color w:val="666666"/>
          <w:kern w:val="0"/>
          <w:sz w:val="24"/>
          <w:szCs w:val="24"/>
        </w:rPr>
        <w:t>附件1</w:t>
      </w:r>
    </w:p>
    <w:p w:rsidR="0060696C" w:rsidRPr="0060696C" w:rsidRDefault="0060696C" w:rsidP="0060696C">
      <w:pPr>
        <w:widowControl/>
        <w:shd w:val="clear" w:color="auto" w:fill="FFFFFF"/>
        <w:spacing w:line="56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文旅体产业化项目评分表</w:t>
      </w:r>
    </w:p>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项目名称：          申报单位：           专家签字：</w:t>
      </w:r>
    </w:p>
    <w:tbl>
      <w:tblPr>
        <w:tblW w:w="0" w:type="auto"/>
        <w:shd w:val="clear" w:color="auto" w:fill="FFFFFF"/>
        <w:tblCellMar>
          <w:left w:w="0" w:type="dxa"/>
          <w:right w:w="0" w:type="dxa"/>
        </w:tblCellMar>
        <w:tblLook w:val="04A0"/>
      </w:tblPr>
      <w:tblGrid>
        <w:gridCol w:w="1329"/>
        <w:gridCol w:w="1329"/>
        <w:gridCol w:w="5169"/>
        <w:gridCol w:w="695"/>
      </w:tblGrid>
      <w:tr w:rsidR="0060696C" w:rsidRPr="0060696C" w:rsidTr="0060696C">
        <w:trPr>
          <w:trHeight w:val="412"/>
        </w:trPr>
        <w:tc>
          <w:tcPr>
            <w:tcW w:w="0" w:type="auto"/>
            <w:tcBorders>
              <w:top w:val="single" w:sz="8" w:space="0" w:color="auto"/>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一级指标</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二级指标</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三级指标</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评审得分</w:t>
            </w:r>
          </w:p>
        </w:tc>
      </w:tr>
      <w:tr w:rsidR="0060696C" w:rsidRPr="0060696C" w:rsidTr="0060696C">
        <w:trPr>
          <w:trHeight w:val="807"/>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资格审查</w:t>
            </w:r>
          </w:p>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（一票否决）</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投资完成度</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已实际完成投资额 ≥ 总投资的40%（10分）</w:t>
            </w:r>
          </w:p>
          <w:p w:rsidR="0060696C" w:rsidRPr="0060696C" w:rsidRDefault="0060696C" w:rsidP="0060696C">
            <w:pPr>
              <w:widowControl/>
              <w:spacing w:line="240" w:lineRule="atLeast"/>
              <w:jc w:val="left"/>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已投资额达30%~40%（5分）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低于30%（0分，不符合申报条件）</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77"/>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竣工投运状态</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已正式运营≥6个月（10分）</w:t>
            </w:r>
          </w:p>
          <w:p w:rsidR="0060696C" w:rsidRPr="0060696C" w:rsidRDefault="0060696C" w:rsidP="0060696C">
            <w:pPr>
              <w:widowControl/>
              <w:spacing w:line="240" w:lineRule="atLeast"/>
              <w:jc w:val="left"/>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运营3~6个月（6分）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运营不足3个月（0分，不符合申报条件）</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7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其他情况</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近三年企业存在重大安全事故/环保处罚，企业提供虚假投资证明或运营数据、项目用地性质违规等情况，均不符合申报条件。</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857"/>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项目质量与产业价值</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产业创新性与独特性</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（12分）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项目属行业前沿技术/模式（如沉浸式体验、数字文旅等）（10~12分）</w:t>
            </w:r>
          </w:p>
          <w:p w:rsidR="0060696C" w:rsidRPr="0060696C" w:rsidRDefault="0060696C" w:rsidP="0060696C">
            <w:pPr>
              <w:widowControl/>
              <w:spacing w:line="240" w:lineRule="atLeast"/>
              <w:jc w:val="left"/>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具有区域特色但创新性一般（6~9分）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同质化严重，缺乏亮点（0~5分）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84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市场竞争力与可持续性</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项目可行性报告完备，市场预测科学（4分）</w:t>
            </w:r>
          </w:p>
          <w:p w:rsidR="0060696C" w:rsidRPr="0060696C" w:rsidRDefault="0060696C" w:rsidP="0060696C">
            <w:pPr>
              <w:widowControl/>
              <w:spacing w:line="240" w:lineRule="atLeast"/>
              <w:jc w:val="left"/>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具备清晰的盈利模式及三年财务规划（3分）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品牌合作方资质强（如国际品牌、上市公司）（3分）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8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产业链带动效应</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直接拉动本地就业人数（1~4分）</w:t>
            </w:r>
          </w:p>
          <w:p w:rsidR="0060696C" w:rsidRPr="0060696C" w:rsidRDefault="0060696C" w:rsidP="0060696C">
            <w:pPr>
              <w:widowControl/>
              <w:spacing w:line="240" w:lineRule="atLeast"/>
              <w:jc w:val="left"/>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带动上下游企业≥10家（如餐饮、住宿、文创）（3分）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签约本地农产品/非遗产品供应链≥3项（3分）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84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融合发展价值</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项目为文商旅体融合发展项目（4分）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获得省级以上文旅体品牌认证（4分）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857"/>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财务健康度与资金管理</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（25分）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资金使用合规性</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固定资产投入账目清晰，无土地购置款混入（10分）</w:t>
            </w:r>
          </w:p>
          <w:p w:rsidR="0060696C" w:rsidRPr="0060696C" w:rsidRDefault="0060696C" w:rsidP="0060696C">
            <w:pPr>
              <w:widowControl/>
              <w:spacing w:line="240" w:lineRule="atLeast"/>
              <w:jc w:val="left"/>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存在账目瑕疵但可合理解释（5分）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发现资金挪用（0分，一票否决）</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8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财务风险控制</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负债率≤70%（4分）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预留≥12个月运营资金（4分）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81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资金撬动能力</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（7分）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已引入社会资本≥总投资50%（7分）</w:t>
            </w:r>
          </w:p>
          <w:p w:rsidR="0060696C" w:rsidRPr="0060696C" w:rsidRDefault="0060696C" w:rsidP="0060696C">
            <w:pPr>
              <w:widowControl/>
              <w:spacing w:line="240" w:lineRule="atLeast"/>
              <w:jc w:val="left"/>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引入社会资本30%~50%（4分）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低于30%（1分）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07"/>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企业发展与社会贡</w:t>
            </w:r>
            <w:r w:rsidRPr="0060696C">
              <w:rPr>
                <w:rFonts w:ascii="宋体" w:eastAsia="宋体" w:hAnsi="宋体" w:cs="宋体" w:hint="eastAsia"/>
                <w:color w:val="666666"/>
                <w:kern w:val="0"/>
                <w:sz w:val="24"/>
                <w:szCs w:val="24"/>
              </w:rPr>
              <w:lastRenderedPageBreak/>
              <w:t>献</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（15分）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年度经营情况</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（8分）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年营收≥500万元（1~8分）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低于500万元（0分）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8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社会效益</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（7分）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提供残疾人/贫困户就业占比≥10%（3分）</w:t>
            </w:r>
          </w:p>
          <w:p w:rsidR="0060696C" w:rsidRPr="0060696C" w:rsidRDefault="0060696C" w:rsidP="0060696C">
            <w:pPr>
              <w:widowControl/>
              <w:spacing w:line="240" w:lineRule="atLeast"/>
              <w:jc w:val="left"/>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免费开放公共设施≥100天/年（2分）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获市级以上主流媒体正面报道≥2次（每2次1分，最高2分）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62"/>
        </w:trPr>
        <w:tc>
          <w:tcPr>
            <w:tcW w:w="0" w:type="auto"/>
            <w:gridSpan w:val="2"/>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附加分项</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（最高+5分）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获省级文旅示范项目、省级体育示范基地等省级以上荣誉称号（省级+1分，国家级+3分）</w:t>
            </w:r>
          </w:p>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项目主体为高新技术企业或省级以上“专精特新”企业（+2分）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62"/>
        </w:trPr>
        <w:tc>
          <w:tcPr>
            <w:tcW w:w="0" w:type="auto"/>
            <w:gridSpan w:val="3"/>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合计</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bl>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附件2</w:t>
      </w:r>
    </w:p>
    <w:p w:rsidR="0060696C" w:rsidRPr="0060696C" w:rsidRDefault="0060696C" w:rsidP="0060696C">
      <w:pPr>
        <w:widowControl/>
        <w:shd w:val="clear" w:color="auto" w:fill="FFFFFF"/>
        <w:spacing w:after="289" w:line="56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文创初创企业遴选标准</w:t>
      </w:r>
    </w:p>
    <w:tbl>
      <w:tblPr>
        <w:tblW w:w="5000" w:type="pct"/>
        <w:shd w:val="clear" w:color="auto" w:fill="FFFFFF"/>
        <w:tblCellMar>
          <w:left w:w="0" w:type="dxa"/>
          <w:right w:w="0" w:type="dxa"/>
        </w:tblCellMar>
        <w:tblLook w:val="04A0"/>
      </w:tblPr>
      <w:tblGrid>
        <w:gridCol w:w="1921"/>
        <w:gridCol w:w="1517"/>
        <w:gridCol w:w="881"/>
        <w:gridCol w:w="4203"/>
      </w:tblGrid>
      <w:tr w:rsidR="0060696C" w:rsidRPr="0060696C" w:rsidTr="0060696C">
        <w:trPr>
          <w:trHeight w:val="600"/>
        </w:trPr>
        <w:tc>
          <w:tcPr>
            <w:tcW w:w="1127" w:type="pct"/>
            <w:tcBorders>
              <w:top w:val="single" w:sz="8" w:space="0" w:color="000000"/>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评估维度</w:t>
            </w:r>
          </w:p>
        </w:tc>
        <w:tc>
          <w:tcPr>
            <w:tcW w:w="890" w:type="pct"/>
            <w:tcBorders>
              <w:top w:val="single" w:sz="8" w:space="0" w:color="000000"/>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评分项目</w:t>
            </w:r>
          </w:p>
        </w:tc>
        <w:tc>
          <w:tcPr>
            <w:tcW w:w="517" w:type="pct"/>
            <w:tcBorders>
              <w:top w:val="single" w:sz="8" w:space="0" w:color="000000"/>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分值</w:t>
            </w:r>
          </w:p>
        </w:tc>
        <w:tc>
          <w:tcPr>
            <w:tcW w:w="2466" w:type="pct"/>
            <w:tcBorders>
              <w:top w:val="single" w:sz="8" w:space="0" w:color="000000"/>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评分标准</w:t>
            </w:r>
          </w:p>
        </w:tc>
      </w:tr>
      <w:tr w:rsidR="0060696C" w:rsidRPr="0060696C" w:rsidTr="0060696C">
        <w:trPr>
          <w:trHeight w:val="324"/>
        </w:trPr>
        <w:tc>
          <w:tcPr>
            <w:tcW w:w="1127" w:type="pct"/>
            <w:vMerge w:val="restart"/>
            <w:tcBorders>
              <w:top w:val="nil"/>
              <w:left w:val="single" w:sz="8" w:space="0" w:color="000000"/>
              <w:bottom w:val="nil"/>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0F1115"/>
                <w:kern w:val="0"/>
                <w:sz w:val="24"/>
                <w:szCs w:val="24"/>
              </w:rPr>
              <w:t>一、技术创新</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（40分）</w:t>
            </w:r>
          </w:p>
        </w:tc>
        <w:tc>
          <w:tcPr>
            <w:tcW w:w="890"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1．技术独特性与知识产权</w:t>
            </w:r>
          </w:p>
        </w:tc>
        <w:tc>
          <w:tcPr>
            <w:tcW w:w="517"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20分</w:t>
            </w: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0-5分：无自有技术</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6-10分：使用通用技术</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11-15分：有软件著作权等</w:t>
            </w:r>
          </w:p>
        </w:tc>
      </w:tr>
      <w:tr w:rsidR="0060696C" w:rsidRPr="0060696C" w:rsidTr="0060696C">
        <w:trPr>
          <w:trHeight w:val="40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16-20分：拥有核心发明专利/独特技术壁垒</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2．技术应用与研发投入</w:t>
            </w:r>
          </w:p>
        </w:tc>
        <w:tc>
          <w:tcPr>
            <w:tcW w:w="517"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20分</w:t>
            </w: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0-5分：技术应用浅显</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6-10分：技术是产品组成部分</w:t>
            </w:r>
          </w:p>
        </w:tc>
      </w:tr>
      <w:tr w:rsidR="0060696C" w:rsidRPr="0060696C" w:rsidTr="0060696C">
        <w:trPr>
          <w:trHeight w:val="442"/>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11-15分：技术是产品核心驱动力</w:t>
            </w:r>
          </w:p>
        </w:tc>
      </w:tr>
      <w:tr w:rsidR="0060696C" w:rsidRPr="0060696C" w:rsidTr="0060696C">
        <w:trPr>
          <w:trHeight w:val="432"/>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16-20分：技术应用领先，研发投入持续</w:t>
            </w:r>
          </w:p>
        </w:tc>
      </w:tr>
      <w:tr w:rsidR="0060696C" w:rsidRPr="0060696C" w:rsidTr="0060696C">
        <w:trPr>
          <w:trHeight w:val="324"/>
        </w:trPr>
        <w:tc>
          <w:tcPr>
            <w:tcW w:w="1127" w:type="pct"/>
            <w:vMerge w:val="restart"/>
            <w:tcBorders>
              <w:top w:val="nil"/>
              <w:left w:val="single" w:sz="8" w:space="0" w:color="000000"/>
              <w:bottom w:val="nil"/>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0F1115"/>
                <w:kern w:val="0"/>
                <w:sz w:val="24"/>
                <w:szCs w:val="24"/>
              </w:rPr>
              <w:t>二、文化创意</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（40分）</w:t>
            </w:r>
          </w:p>
        </w:tc>
        <w:tc>
          <w:tcPr>
            <w:tcW w:w="890"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3．文化内涵与原创性</w:t>
            </w:r>
          </w:p>
        </w:tc>
        <w:tc>
          <w:tcPr>
            <w:tcW w:w="517"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20分</w:t>
            </w: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0-5分：文化元素堆砌</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6-10分：内容有较好原创性</w:t>
            </w:r>
          </w:p>
        </w:tc>
      </w:tr>
      <w:tr w:rsidR="0060696C" w:rsidRPr="0060696C" w:rsidTr="0060696C">
        <w:trPr>
          <w:trHeight w:val="442"/>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11-15分：文化表达新颖，有价值观</w:t>
            </w:r>
          </w:p>
        </w:tc>
      </w:tr>
      <w:tr w:rsidR="0060696C" w:rsidRPr="0060696C" w:rsidTr="0060696C">
        <w:trPr>
          <w:trHeight w:val="21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16-20分：开创全新文化表达或活化传统</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4．设计美感与用户体验</w:t>
            </w:r>
          </w:p>
        </w:tc>
        <w:tc>
          <w:tcPr>
            <w:tcW w:w="517"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20分</w:t>
            </w: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0-5分：设计普通，体验一般</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6-10分：设计良好，体验顺畅</w:t>
            </w:r>
          </w:p>
        </w:tc>
      </w:tr>
      <w:tr w:rsidR="0060696C" w:rsidRPr="0060696C" w:rsidTr="0060696C">
        <w:trPr>
          <w:trHeight w:val="406"/>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11-15分：设计优秀，体验有吸引力</w:t>
            </w:r>
          </w:p>
        </w:tc>
      </w:tr>
      <w:tr w:rsidR="0060696C" w:rsidRPr="0060696C" w:rsidTr="0060696C">
        <w:trPr>
          <w:trHeight w:val="38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16-20分：设计卓越，体验沉浸、有共鸣</w:t>
            </w:r>
          </w:p>
        </w:tc>
      </w:tr>
      <w:tr w:rsidR="0060696C" w:rsidRPr="0060696C" w:rsidTr="0060696C">
        <w:trPr>
          <w:trHeight w:val="324"/>
        </w:trPr>
        <w:tc>
          <w:tcPr>
            <w:tcW w:w="1127" w:type="pct"/>
            <w:vMerge w:val="restart"/>
            <w:tcBorders>
              <w:top w:val="nil"/>
              <w:left w:val="single" w:sz="8" w:space="0" w:color="000000"/>
              <w:bottom w:val="nil"/>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0F1115"/>
                <w:kern w:val="0"/>
                <w:sz w:val="24"/>
                <w:szCs w:val="24"/>
              </w:rPr>
              <w:t>三、融合与潜力</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（20分）</w:t>
            </w:r>
          </w:p>
        </w:tc>
        <w:tc>
          <w:tcPr>
            <w:tcW w:w="890"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5．“技术+文化”融合度</w:t>
            </w:r>
          </w:p>
        </w:tc>
        <w:tc>
          <w:tcPr>
            <w:tcW w:w="517"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10分</w:t>
            </w: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0-2分：两者割裂</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3-5分：两者结合良好</w:t>
            </w:r>
          </w:p>
        </w:tc>
      </w:tr>
      <w:tr w:rsidR="0060696C" w:rsidRPr="0060696C" w:rsidTr="0060696C">
        <w:trPr>
          <w:trHeight w:val="490"/>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6-8分：技术有效赋能并提升文化表达</w:t>
            </w:r>
          </w:p>
        </w:tc>
      </w:tr>
      <w:tr w:rsidR="0060696C" w:rsidRPr="0060696C" w:rsidTr="0060696C">
        <w:trPr>
          <w:trHeight w:val="45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9-10分：技术与文化深度融合，相互成就</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6．市场价值与商业模式</w:t>
            </w:r>
          </w:p>
        </w:tc>
        <w:tc>
          <w:tcPr>
            <w:tcW w:w="517" w:type="pct"/>
            <w:vMerge w:val="restar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10分</w:t>
            </w: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0-2分：模式不清，潜力不明</w:t>
            </w:r>
          </w:p>
        </w:tc>
      </w:tr>
      <w:tr w:rsidR="0060696C" w:rsidRPr="0060696C" w:rsidTr="0060696C">
        <w:trPr>
          <w:trHeight w:val="466"/>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3-5分：模式可行，有市场潜力</w:t>
            </w:r>
          </w:p>
        </w:tc>
      </w:tr>
      <w:tr w:rsidR="0060696C" w:rsidRPr="0060696C" w:rsidTr="0060696C">
        <w:trPr>
          <w:trHeight w:val="32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6-8分：模式清晰，增长可期</w:t>
            </w:r>
          </w:p>
        </w:tc>
      </w:tr>
      <w:tr w:rsidR="0060696C" w:rsidRPr="0060696C" w:rsidTr="0060696C">
        <w:trPr>
          <w:trHeight w:val="504"/>
        </w:trPr>
        <w:tc>
          <w:tcPr>
            <w:tcW w:w="1127"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517"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9-10分：模式创新，具备爆款/引领潜力</w:t>
            </w:r>
          </w:p>
        </w:tc>
      </w:tr>
      <w:tr w:rsidR="0060696C" w:rsidRPr="0060696C" w:rsidTr="0060696C">
        <w:trPr>
          <w:trHeight w:val="612"/>
        </w:trPr>
        <w:tc>
          <w:tcPr>
            <w:tcW w:w="1127" w:type="pct"/>
            <w:tcBorders>
              <w:top w:val="nil"/>
              <w:left w:val="single" w:sz="8" w:space="0" w:color="000000"/>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890"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总分</w:t>
            </w:r>
          </w:p>
        </w:tc>
        <w:tc>
          <w:tcPr>
            <w:tcW w:w="517"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0F1115"/>
                <w:kern w:val="0"/>
                <w:sz w:val="24"/>
                <w:szCs w:val="24"/>
              </w:rPr>
              <w:t>100分</w:t>
            </w:r>
          </w:p>
        </w:tc>
        <w:tc>
          <w:tcPr>
            <w:tcW w:w="2466" w:type="pct"/>
            <w:tcBorders>
              <w:top w:val="nil"/>
              <w:left w:val="nil"/>
              <w:bottom w:val="single" w:sz="8" w:space="0" w:color="000000"/>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bl>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br/>
        <w:t>附件3</w:t>
      </w:r>
    </w:p>
    <w:p w:rsidR="0060696C" w:rsidRPr="0060696C" w:rsidRDefault="0060696C" w:rsidP="0060696C">
      <w:pPr>
        <w:widowControl/>
        <w:shd w:val="clear" w:color="auto" w:fill="FFFFFF"/>
        <w:spacing w:before="115" w:line="60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成都天府奥体公园文旅体创新特色场景评分表</w:t>
      </w:r>
    </w:p>
    <w:p w:rsidR="0060696C" w:rsidRPr="0060696C" w:rsidRDefault="0060696C" w:rsidP="0060696C">
      <w:pPr>
        <w:widowControl/>
        <w:shd w:val="clear" w:color="auto" w:fill="FFFFFF"/>
        <w:spacing w:line="60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项目名称：          申报单位：          专家签字：</w:t>
      </w:r>
    </w:p>
    <w:tbl>
      <w:tblPr>
        <w:tblW w:w="0" w:type="auto"/>
        <w:shd w:val="clear" w:color="auto" w:fill="FFFFFF"/>
        <w:tblCellMar>
          <w:left w:w="0" w:type="dxa"/>
          <w:right w:w="0" w:type="dxa"/>
        </w:tblCellMar>
        <w:tblLook w:val="04A0"/>
      </w:tblPr>
      <w:tblGrid>
        <w:gridCol w:w="534"/>
        <w:gridCol w:w="1309"/>
        <w:gridCol w:w="4996"/>
        <w:gridCol w:w="844"/>
        <w:gridCol w:w="725"/>
        <w:gridCol w:w="6"/>
      </w:tblGrid>
      <w:tr w:rsidR="0060696C" w:rsidRPr="0060696C" w:rsidTr="0060696C">
        <w:trPr>
          <w:trHeight w:val="412"/>
        </w:trPr>
        <w:tc>
          <w:tcPr>
            <w:tcW w:w="0" w:type="auto"/>
            <w:tcBorders>
              <w:top w:val="single" w:sz="8" w:space="0" w:color="auto"/>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序号</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评审项目</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主要内容</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分值</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b/>
                <w:bCs/>
                <w:color w:val="666666"/>
                <w:kern w:val="0"/>
                <w:sz w:val="24"/>
                <w:szCs w:val="24"/>
              </w:rPr>
              <w:t>评审得分</w:t>
            </w: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12"/>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w:t>
            </w:r>
          </w:p>
        </w:tc>
        <w:tc>
          <w:tcPr>
            <w:tcW w:w="0" w:type="auto"/>
            <w:vMerge w:val="restart"/>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资格审查（一票否决）</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按照“报名条件”要求，对申报主体资格审查。</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符合或否</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通过/否决</w:t>
            </w: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1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对诚信经营、主题新颖、管理规范、设施完善、申报主题等要求进行审核。</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存在或者无</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通过/否决</w:t>
            </w: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1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未发生重大环境污染事件，无乱排乱放污染行为，无环境违法违规记录。</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存在或者无</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通过/否决</w:t>
            </w: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12"/>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vMerge w:val="restart"/>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规划建设</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申报单位编制有规划方案，并得到全面有效实施。</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43"/>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整体规划布局合理，项目建设富有行业特色，符合成都天府奥体公园文旅体产业发展规划。</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5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小计</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分</w:t>
            </w: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53"/>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w:t>
            </w:r>
          </w:p>
        </w:tc>
        <w:tc>
          <w:tcPr>
            <w:tcW w:w="0" w:type="auto"/>
            <w:vMerge w:val="restart"/>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创新特色</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围绕山水度假、主题游乐、低空文旅、研学旅游、户外运动、运动康复、体育科创等园区发展主导方向，有文旅体核心吸引物。</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1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资源丰富，品牌特色鲜明。</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1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有一定深度和特色的体验互动项目或旅游产品。</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9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主题明确，定期举办特色活动。</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7</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小计</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30</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分</w:t>
            </w: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12"/>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vMerge w:val="restart"/>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配套设施（20分）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交通设施（外部交通、内部游览道路、停车场等）。</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1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标识标牌（主道路导视牌、内部标识牌、危险警示牌等）。</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43"/>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餐饮、住宿设施（独立性、安全性、功能性、空间布局、内部装饰、环境卫生等）。</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2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娱乐设施（可进行健身锻炼、休闲娱乐的室内外场地或设施等）。</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53"/>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产品展示中心（有独立的产品展示中心，标识醒目、陈列规范、商品丰富等）。</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5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小计</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20</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分</w:t>
            </w: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8"/>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w:t>
            </w:r>
          </w:p>
        </w:tc>
        <w:tc>
          <w:tcPr>
            <w:tcW w:w="0" w:type="auto"/>
            <w:vMerge w:val="restart"/>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卫生与环境</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生活垃圾分类处理，并符合相关规定。</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污水排放达到环保要求。</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公共厕所数量满足接待要求，相关设备及卫生符合标准。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有足够数量的垃圾桶/箱，且摆放适宜、标志明晰、造型美观。</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5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周边生态环境良好，项目绿化覆盖率不低于50%。</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1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小计</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分</w:t>
            </w:r>
          </w:p>
        </w:tc>
        <w:tc>
          <w:tcPr>
            <w:tcW w:w="0" w:type="auto"/>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48"/>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6</w:t>
            </w:r>
          </w:p>
        </w:tc>
        <w:tc>
          <w:tcPr>
            <w:tcW w:w="0" w:type="auto"/>
            <w:vMerge w:val="restart"/>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管理服务</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有合理规范的管理机构和运营机制，能够有效组织开展旅游目的地的建设、管理和运营。</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gridSpan w:val="2"/>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4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建立电子商务系统平台，具备网上查询、预订、支付等服务功能。</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12"/>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旅游咨询点（游客中心）位置合理，规模适度，具备提供信息、咨询、游程安排、讲解、教育、休息等服务功能。</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59"/>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各项经营、安全、食品、环境、服务质量等管理制度健全有效，贯彻措施得力，定期监督检查，有完整的书面记录和总结。</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10"/>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组织架构及管理制度健全，管理人员配备合理，人员培训、档案记录、应急预案、游客投诉机制等制度完善。</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36"/>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小计</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ind w:left="176" w:hanging="236"/>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分</w:t>
            </w:r>
          </w:p>
        </w:tc>
      </w:tr>
      <w:tr w:rsidR="0060696C" w:rsidRPr="0060696C" w:rsidTr="0060696C">
        <w:trPr>
          <w:trHeight w:val="438"/>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7</w:t>
            </w:r>
          </w:p>
        </w:tc>
        <w:tc>
          <w:tcPr>
            <w:tcW w:w="0" w:type="auto"/>
            <w:vMerge w:val="restart"/>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spacing w:val="-10"/>
                <w:kern w:val="0"/>
                <w:sz w:val="24"/>
                <w:szCs w:val="24"/>
              </w:rPr>
              <w:t>社会与经济效应</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（20分）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规范运营一年以上，经济效益明显。</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gridSpan w:val="2"/>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75"/>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年接待游客量达到30000人次以上。</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75"/>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游客满意度抽样调查达到80%以上。</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43"/>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能稳定吸纳本地劳动力就业，促进农民增收。</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17"/>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nil"/>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有一定市场辐射力和示范性，在省、市有一定知名度、美誉度。</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95"/>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小计</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20</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分</w:t>
            </w:r>
          </w:p>
        </w:tc>
      </w:tr>
      <w:tr w:rsidR="0060696C" w:rsidRPr="0060696C" w:rsidTr="0060696C">
        <w:trPr>
          <w:trHeight w:val="915"/>
        </w:trPr>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8</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加分项</w:t>
            </w:r>
          </w:p>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获得过国家级、省级旅游类表彰或认定的，国家级每项2分，省级每项1分，总加分不超过5分。</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w:t>
            </w:r>
          </w:p>
        </w:tc>
        <w:tc>
          <w:tcPr>
            <w:tcW w:w="0" w:type="auto"/>
            <w:gridSpan w:val="2"/>
            <w:tcBorders>
              <w:top w:val="single" w:sz="8" w:space="0" w:color="auto"/>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91"/>
        </w:trPr>
        <w:tc>
          <w:tcPr>
            <w:tcW w:w="0" w:type="auto"/>
            <w:gridSpan w:val="3"/>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合计</w:t>
            </w:r>
          </w:p>
        </w:tc>
        <w:tc>
          <w:tcPr>
            <w:tcW w:w="0" w:type="auto"/>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105</w:t>
            </w:r>
          </w:p>
        </w:tc>
        <w:tc>
          <w:tcPr>
            <w:tcW w:w="0" w:type="auto"/>
            <w:gridSpan w:val="2"/>
            <w:tcBorders>
              <w:top w:val="nil"/>
              <w:left w:val="nil"/>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24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分</w:t>
            </w:r>
          </w:p>
        </w:tc>
      </w:tr>
    </w:tbl>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br/>
        <w:t>附件4</w:t>
      </w:r>
    </w:p>
    <w:p w:rsidR="0060696C" w:rsidRPr="0060696C" w:rsidRDefault="0060696C" w:rsidP="0060696C">
      <w:pPr>
        <w:widowControl/>
        <w:shd w:val="clear" w:color="auto" w:fill="FFFFFF"/>
        <w:spacing w:before="115" w:line="60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社会力量举办体育赛事评价指标体系</w:t>
      </w:r>
    </w:p>
    <w:p w:rsidR="0060696C" w:rsidRPr="0060696C" w:rsidRDefault="0060696C" w:rsidP="0060696C">
      <w:pPr>
        <w:widowControl/>
        <w:shd w:val="clear" w:color="auto" w:fill="FFFFFF"/>
        <w:spacing w:after="289" w:line="600" w:lineRule="atLeast"/>
        <w:ind w:firstLine="646"/>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（国际高级别赛事）</w:t>
      </w:r>
    </w:p>
    <w:tbl>
      <w:tblPr>
        <w:tblW w:w="0" w:type="auto"/>
        <w:shd w:val="clear" w:color="auto" w:fill="FFFFFF"/>
        <w:tblCellMar>
          <w:left w:w="0" w:type="dxa"/>
          <w:right w:w="0" w:type="dxa"/>
        </w:tblCellMar>
        <w:tblLook w:val="04A0"/>
      </w:tblPr>
      <w:tblGrid>
        <w:gridCol w:w="918"/>
        <w:gridCol w:w="1470"/>
        <w:gridCol w:w="4186"/>
        <w:gridCol w:w="401"/>
        <w:gridCol w:w="1361"/>
      </w:tblGrid>
      <w:tr w:rsidR="0060696C" w:rsidRPr="0060696C" w:rsidTr="0060696C">
        <w:trPr>
          <w:trHeight w:val="398"/>
        </w:trPr>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一级指标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计分栏</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备注</w:t>
            </w:r>
          </w:p>
        </w:tc>
      </w:tr>
      <w:tr w:rsidR="0060696C" w:rsidRPr="0060696C" w:rsidTr="0060696C">
        <w:trPr>
          <w:trHeight w:val="407"/>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赛事质量（40分）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赛事项目类别</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由国际奥委会和国家体育总局共同认定的项目类别，得6分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536"/>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由国家体育总局认定，国际奥委会不认定的项目类别，得4分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34"/>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赛事项目级别</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由国际单项体育组织授</w:t>
            </w:r>
            <w:r w:rsidRPr="0060696C">
              <w:rPr>
                <w:rFonts w:ascii="宋体" w:eastAsia="宋体" w:hAnsi="宋体" w:cs="宋体" w:hint="eastAsia"/>
                <w:color w:val="666666"/>
                <w:spacing w:val="-6"/>
                <w:kern w:val="0"/>
                <w:sz w:val="24"/>
                <w:szCs w:val="24"/>
              </w:rPr>
              <w:t>权或主办的世锦赛或世界杯级别，得14分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由国际单项体育组织授权或主办的系列赛、积分赛、分站赛等赛事的，得5分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3"/>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运动员（队）水平</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参赛运动员或运动队在世界排名1-50名占4位（队）及以上的，得10分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参赛运动员或运动队在世界排名51-100名占4位（队）及以上的，得6分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赛事安全</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制定赛事现场安保、外事、医疗救护、食品安全、现场设施设备搭建等应急方案并根据方案执行的，得10分，缺少一项扣2分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28"/>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影响力</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（40分）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获得国际体育组织优秀评价</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（7分）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获得国际体育组织</w:t>
            </w:r>
            <w:r w:rsidRPr="0060696C">
              <w:rPr>
                <w:rFonts w:ascii="宋体" w:eastAsia="宋体" w:hAnsi="宋体" w:cs="宋体" w:hint="eastAsia"/>
                <w:color w:val="666666"/>
                <w:spacing w:val="-6"/>
                <w:kern w:val="0"/>
                <w:sz w:val="24"/>
                <w:szCs w:val="24"/>
              </w:rPr>
              <w:t>颁发的XX荣誉的奖牌、奖杯等荣誉的，得7分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二项打分汇总，累计不超过7分</w:t>
            </w:r>
          </w:p>
        </w:tc>
      </w:tr>
      <w:tr w:rsidR="0060696C" w:rsidRPr="0060696C" w:rsidTr="0060696C">
        <w:trPr>
          <w:trHeight w:val="517"/>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获得国际体育组织充分肯定并有佐证材料的，得5分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19"/>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境外和中央主流媒体直播或报道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境外和中央级主流媒体直播、转播、录播2次及以上得4分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三项打分并汇总，累计不超过8分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境外和中央级网络等新媒体直播、转播、录播、网站新闻专版或专题报道2次及以上得2分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0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境外和中央级报</w:t>
            </w:r>
            <w:r w:rsidRPr="0060696C">
              <w:rPr>
                <w:rFonts w:ascii="宋体" w:eastAsia="宋体" w:hAnsi="宋体" w:cs="宋体" w:hint="eastAsia"/>
                <w:color w:val="666666"/>
                <w:spacing w:val="-6"/>
                <w:kern w:val="0"/>
                <w:sz w:val="24"/>
                <w:szCs w:val="24"/>
              </w:rPr>
              <w:t>纸等传统媒体专题或专版报道2次及以上的得2分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02"/>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省、市级主流媒体直播或报道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省、市主流媒体直播、转播、录播，2次及以上得4分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三项打分并汇总，累计不超过8分</w:t>
            </w:r>
          </w:p>
        </w:tc>
      </w:tr>
      <w:tr w:rsidR="0060696C" w:rsidRPr="0060696C" w:rsidTr="0060696C">
        <w:trPr>
          <w:trHeight w:val="76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省、市专业门户网站、网络等新媒体直播、转播、录播、网站新闻专版或专题报道2次及以上得2分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省、市级报纸等传统媒体专题或专版报道2次及以上的得2分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影响力</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体育专业媒体直播或报道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2家及以上的直播平台直播得3分；2家及以上专业体育门户网站专版、专栏报道赛事的，得2分；没有则不得分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两项打分并汇总，累计不超过5分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外籍运动员参赛占比（4分）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外籍运动员人数占参赛总人数50%及以上的，得4分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外籍运动员人数占参赛总人数的50%以下的，得2分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持续办赛次数</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该赛事连续在成都举办3届及以上的，得3分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该赛事连续在成都举办2届及以上的，得1分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赞助品牌价值</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获得世界500强赞助商赞助，每1家5分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三项打分并汇总，累计不超过5分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获得中国500强赞助商赞助，每1家3分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获得上市企业或其他企业赞助，每1家2分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经济效益（10分）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社会资金投入占比</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社会资金投入占办赛总经费100%的，得4分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四选一计分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社会资金投入占办赛总经费80%的，得3分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社会资金投入占办赛总经费70%的，得2分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社会资金投入占办赛总经费50%的，得1分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2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赛事收入</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赛事带来门票、赞</w:t>
            </w:r>
            <w:r w:rsidRPr="0060696C">
              <w:rPr>
                <w:rFonts w:ascii="宋体" w:eastAsia="宋体" w:hAnsi="宋体" w:cs="宋体" w:hint="eastAsia"/>
                <w:color w:val="666666"/>
                <w:spacing w:val="-6"/>
                <w:kern w:val="0"/>
                <w:sz w:val="24"/>
                <w:szCs w:val="24"/>
              </w:rPr>
              <w:t>助和配套活动等收入在100万及以上的，得3分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二选一计分（具体金额待定）</w:t>
            </w:r>
          </w:p>
        </w:tc>
      </w:tr>
      <w:tr w:rsidR="0060696C" w:rsidRPr="0060696C" w:rsidTr="0060696C">
        <w:trPr>
          <w:trHeight w:val="52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赛事带来门票、赞助和配套活动等收入在100万以下的，得1分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0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赛事延伸效益</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带动区域旅游、住宿、餐饮同比增长5％及以上的，得3分</w:t>
            </w:r>
          </w:p>
        </w:tc>
        <w:tc>
          <w:tcPr>
            <w:tcW w:w="0" w:type="auto"/>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32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带动区域旅游、住宿、餐饮同比增长5％以下的，得2分</w:t>
            </w:r>
          </w:p>
        </w:tc>
        <w:tc>
          <w:tcPr>
            <w:tcW w:w="0" w:type="auto"/>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20"/>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社会效</w:t>
            </w:r>
            <w:r w:rsidRPr="0060696C">
              <w:rPr>
                <w:rFonts w:ascii="宋体" w:eastAsia="宋体" w:hAnsi="宋体" w:cs="宋体" w:hint="eastAsia"/>
                <w:color w:val="666666"/>
                <w:kern w:val="0"/>
                <w:sz w:val="24"/>
                <w:szCs w:val="24"/>
              </w:rPr>
              <w:lastRenderedPageBreak/>
              <w:t>益（10分）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观众观赛率</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赛事现场上座率达80％及以上，得3分</w:t>
            </w:r>
          </w:p>
        </w:tc>
        <w:tc>
          <w:tcPr>
            <w:tcW w:w="0" w:type="auto"/>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三选一计分</w:t>
            </w:r>
          </w:p>
        </w:tc>
      </w:tr>
      <w:tr w:rsidR="0060696C" w:rsidRPr="0060696C" w:rsidTr="0060696C">
        <w:trPr>
          <w:trHeight w:val="442"/>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赛事现场上座率达50％及以上，得2分</w:t>
            </w:r>
          </w:p>
        </w:tc>
        <w:tc>
          <w:tcPr>
            <w:tcW w:w="0" w:type="auto"/>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58"/>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赛事现场上座率达50％以下，得1分</w:t>
            </w:r>
          </w:p>
        </w:tc>
        <w:tc>
          <w:tcPr>
            <w:tcW w:w="0" w:type="auto"/>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74"/>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赛事配套活动</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国际交流活动达1次及以上的，得2分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累计不超过3分</w:t>
            </w:r>
          </w:p>
        </w:tc>
      </w:tr>
      <w:tr w:rsidR="0060696C" w:rsidRPr="0060696C" w:rsidTr="0060696C">
        <w:trPr>
          <w:trHeight w:val="421"/>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赛事提供惠民活动1次及以上的，得1分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3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有推广活动1次及以上的，得1分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1"/>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选手满意度</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参赛选手非常满意和满意度占总数80%及以上的，得2分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参赛选手非常满意和满意度占总数80%以下的，得1分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4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观众满意度</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现场观众非常满意和满意度占总数80%及以上的，得2分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54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现场观众非常满意和满意度占总数80%以下的，得1分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bl>
    <w:p w:rsidR="0060696C" w:rsidRPr="0060696C" w:rsidRDefault="0060696C" w:rsidP="0060696C">
      <w:pPr>
        <w:widowControl/>
        <w:shd w:val="clear" w:color="auto" w:fill="FFFFFF"/>
        <w:spacing w:line="600" w:lineRule="atLeast"/>
        <w:ind w:firstLine="118"/>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br/>
        <w:t>社会力量举办体育赛事评价指标体系</w:t>
      </w:r>
    </w:p>
    <w:p w:rsidR="0060696C" w:rsidRPr="0060696C" w:rsidRDefault="0060696C" w:rsidP="0060696C">
      <w:pPr>
        <w:widowControl/>
        <w:shd w:val="clear" w:color="auto" w:fill="FFFFFF"/>
        <w:spacing w:after="289" w:line="60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（全国高级别赛事）</w:t>
      </w:r>
    </w:p>
    <w:tbl>
      <w:tblPr>
        <w:tblW w:w="0" w:type="auto"/>
        <w:shd w:val="clear" w:color="auto" w:fill="FFFFFF"/>
        <w:tblCellMar>
          <w:left w:w="0" w:type="dxa"/>
          <w:right w:w="0" w:type="dxa"/>
        </w:tblCellMar>
        <w:tblLook w:val="04A0"/>
      </w:tblPr>
      <w:tblGrid>
        <w:gridCol w:w="819"/>
        <w:gridCol w:w="1817"/>
        <w:gridCol w:w="3993"/>
        <w:gridCol w:w="394"/>
        <w:gridCol w:w="1313"/>
      </w:tblGrid>
      <w:tr w:rsidR="0060696C" w:rsidRPr="0060696C" w:rsidTr="0060696C">
        <w:trPr>
          <w:trHeight w:val="484"/>
        </w:trPr>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一级指标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计分栏</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备注</w:t>
            </w:r>
          </w:p>
        </w:tc>
      </w:tr>
      <w:tr w:rsidR="0060696C" w:rsidRPr="0060696C" w:rsidTr="0060696C">
        <w:trPr>
          <w:trHeight w:val="448"/>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质量</w:t>
            </w:r>
          </w:p>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（40分）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赛事项目类别</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由国家体育总局认定的项目类别，得6分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481"/>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其他项目类别，得3分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赛事级别</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由国家体育总局单项项目管理中心或协会主办或认定属于全国锦标赛级别的，得14分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其他全国性赛事，得5分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73"/>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spacing w:val="-10"/>
                <w:kern w:val="0"/>
                <w:sz w:val="24"/>
                <w:szCs w:val="24"/>
              </w:rPr>
              <w:t>运动员（队）水平</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参赛运动员或运动队在全国排名1-50名占4位（队）及以上的，得10分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参赛运动员或运动队在全国排名51-100名占4位（队）及以上的，得6分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赛事安全</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制定赛事现场安保、外事、医疗救护、食品安全、现场设施设备搭建等应急方案并根据方案执行的，得10分，缺少</w:t>
            </w:r>
            <w:r w:rsidRPr="0060696C">
              <w:rPr>
                <w:rFonts w:ascii="宋体" w:eastAsia="宋体" w:hAnsi="宋体" w:cs="宋体" w:hint="eastAsia"/>
                <w:color w:val="666666"/>
                <w:kern w:val="0"/>
                <w:sz w:val="24"/>
                <w:szCs w:val="24"/>
              </w:rPr>
              <w:lastRenderedPageBreak/>
              <w:t>一项扣2分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lastRenderedPageBreak/>
              <w:t>赛事</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影响力</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（43分）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获得国家体育总局项目管理中心或协会优秀评价</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获得国家体育总局项目管理中心或协会颁发的奖牌、奖杯的，得6分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1413"/>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完赛后获得国家体育总局项目管理中心或协会充分肯定并出具正式文件的，得4分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二项打分汇总，累计不超过10分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境外和中央主流媒体直播或专题报道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境外及中央级主流媒体直播、转播、录播1次及以上得4分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三项打分并汇总，累计不超过8分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境外及中央级主流网络等新媒体专版或专栏报道2次及以上得2分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境外及中央级主流报纸等传统媒体专版或专栏报道2次及以上得2分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省、市级主流媒体直播或报道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w:t>
            </w:r>
            <w:r w:rsidRPr="0060696C">
              <w:rPr>
                <w:rFonts w:ascii="宋体" w:eastAsia="宋体" w:hAnsi="宋体" w:cs="宋体" w:hint="eastAsia"/>
                <w:color w:val="666666"/>
                <w:spacing w:val="-6"/>
                <w:kern w:val="0"/>
                <w:sz w:val="24"/>
                <w:szCs w:val="24"/>
              </w:rPr>
              <w:t>主流媒体直播、转播、录播，2次及以上得4分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三项打分并汇总，累计不超过8分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省、市级网络等新媒体专版或专栏报道2次及以上得2分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4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省、市级报纸等传统媒体专题或专版报道2次及以上的得2分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1265"/>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影响力</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体育专业媒体直播或报道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2家及以上的专业体育直播平台直播得3分；2家及以上专业体育门户网站专版、专栏报道赛事的，得2分；没有则不得分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两项打分并汇总，累计不超过5分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赞助品牌价值</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（9分）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spacing w:val="-8"/>
                <w:kern w:val="0"/>
                <w:sz w:val="24"/>
                <w:szCs w:val="24"/>
              </w:rPr>
              <w:t>有1家及以上的世界或全国500强企业赞助的，得5分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三项打分并汇总，累计不超过9分</w:t>
            </w:r>
          </w:p>
        </w:tc>
      </w:tr>
      <w:tr w:rsidR="0060696C" w:rsidRPr="0060696C" w:rsidTr="0060696C">
        <w:trPr>
          <w:trHeight w:val="553"/>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有1家及以上的上市企业赞助的，得3分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有1家及以上其他企业赞助的，得1分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8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持续办赛次数</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该赛事连续在成都举办3届及以上的，得3分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491"/>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该赛事连续在成都举办2届及以上的，得1分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92"/>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社会和经济效益</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（17分）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社会资金投入占办赛总经费100%的，得4分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三选一计分</w:t>
            </w:r>
          </w:p>
        </w:tc>
      </w:tr>
      <w:tr w:rsidR="0060696C" w:rsidRPr="0060696C" w:rsidTr="0060696C">
        <w:trPr>
          <w:trHeight w:val="48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社会资金投入占办赛总经费80%的，得2分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19"/>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社会资金投入占办赛总经费50%的，得1分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2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赛事收入</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赛事带来门票、赞助和配套活动等收入在100万及以上的，得3分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59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赛事带来门票、赞助和配套活动等收入在100万以下的，得1分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5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赛事配套活动</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赛事期间</w:t>
            </w:r>
            <w:r w:rsidRPr="0060696C">
              <w:rPr>
                <w:rFonts w:ascii="宋体" w:eastAsia="宋体" w:hAnsi="宋体" w:cs="宋体" w:hint="eastAsia"/>
                <w:color w:val="666666"/>
                <w:spacing w:val="-6"/>
                <w:kern w:val="0"/>
                <w:sz w:val="24"/>
                <w:szCs w:val="24"/>
              </w:rPr>
              <w:t>举办交流活动情况超过1次及以上的，得2分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三项打分并汇总，累计不超过6分</w:t>
            </w:r>
          </w:p>
        </w:tc>
      </w:tr>
      <w:tr w:rsidR="0060696C" w:rsidRPr="0060696C" w:rsidTr="0060696C">
        <w:trPr>
          <w:trHeight w:val="382"/>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提供惠民活动1次及以上的，得2分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3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赛事相关推广活动1次及以上的，得2分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选手满意度</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参赛选手非常满意和满意度占总数80%及以上的，得2分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参赛选手非常</w:t>
            </w:r>
            <w:r w:rsidRPr="0060696C">
              <w:rPr>
                <w:rFonts w:ascii="宋体" w:eastAsia="宋体" w:hAnsi="宋体" w:cs="宋体" w:hint="eastAsia"/>
                <w:color w:val="666666"/>
                <w:spacing w:val="-6"/>
                <w:kern w:val="0"/>
                <w:sz w:val="24"/>
                <w:szCs w:val="24"/>
              </w:rPr>
              <w:t>满意和满意度占总数80%以下的，得1分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4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观众满意度</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现场观众非常满意和满意度占总数80%及以上的，得2分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54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spacing w:val="-8"/>
                <w:kern w:val="0"/>
                <w:sz w:val="24"/>
                <w:szCs w:val="24"/>
              </w:rPr>
              <w:t>现场观众非常满意和满意度占总数80%以上的，得1分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bl>
    <w:p w:rsidR="0060696C" w:rsidRPr="0060696C" w:rsidRDefault="0060696C" w:rsidP="0060696C">
      <w:pPr>
        <w:widowControl/>
        <w:shd w:val="clear" w:color="auto" w:fill="FFFFFF"/>
        <w:spacing w:line="70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br/>
        <w:t>社会力量举办体育赛事评价指标体系</w:t>
      </w:r>
    </w:p>
    <w:p w:rsidR="0060696C" w:rsidRPr="0060696C" w:rsidRDefault="0060696C" w:rsidP="0060696C">
      <w:pPr>
        <w:widowControl/>
        <w:shd w:val="clear" w:color="auto" w:fill="FFFFFF"/>
        <w:spacing w:after="289" w:line="70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（自创品牌赛事）</w:t>
      </w:r>
    </w:p>
    <w:tbl>
      <w:tblPr>
        <w:tblW w:w="5000" w:type="pct"/>
        <w:shd w:val="clear" w:color="auto" w:fill="FFFFFF"/>
        <w:tblCellMar>
          <w:left w:w="0" w:type="dxa"/>
          <w:right w:w="0" w:type="dxa"/>
        </w:tblCellMar>
        <w:tblLook w:val="04A0"/>
      </w:tblPr>
      <w:tblGrid>
        <w:gridCol w:w="840"/>
        <w:gridCol w:w="1254"/>
        <w:gridCol w:w="4561"/>
        <w:gridCol w:w="644"/>
        <w:gridCol w:w="1037"/>
      </w:tblGrid>
      <w:tr w:rsidR="0060696C" w:rsidRPr="0060696C" w:rsidTr="0060696C">
        <w:trPr>
          <w:trHeight w:val="508"/>
        </w:trPr>
        <w:tc>
          <w:tcPr>
            <w:tcW w:w="504" w:type="pct"/>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一级指标</w:t>
            </w:r>
          </w:p>
        </w:tc>
        <w:tc>
          <w:tcPr>
            <w:tcW w:w="752" w:type="pc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二级指标</w:t>
            </w:r>
          </w:p>
        </w:tc>
        <w:tc>
          <w:tcPr>
            <w:tcW w:w="2736" w:type="pc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三级指标</w:t>
            </w:r>
          </w:p>
        </w:tc>
        <w:tc>
          <w:tcPr>
            <w:tcW w:w="386" w:type="pc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计分栏</w:t>
            </w:r>
          </w:p>
        </w:tc>
        <w:tc>
          <w:tcPr>
            <w:tcW w:w="622" w:type="pc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备注</w:t>
            </w:r>
          </w:p>
        </w:tc>
      </w:tr>
      <w:tr w:rsidR="0060696C" w:rsidRPr="0060696C" w:rsidTr="0060696C">
        <w:trPr>
          <w:trHeight w:val="586"/>
        </w:trPr>
        <w:tc>
          <w:tcPr>
            <w:tcW w:w="504" w:type="pct"/>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赛事质量（50分）</w:t>
            </w:r>
          </w:p>
        </w:tc>
        <w:tc>
          <w:tcPr>
            <w:tcW w:w="75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赛事项目类别</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（6分）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spacing w:val="-6"/>
                <w:kern w:val="0"/>
                <w:sz w:val="24"/>
                <w:szCs w:val="24"/>
              </w:rPr>
              <w:t>由国际奥委会和国家体育总局认定的项目类别，得10分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540"/>
        </w:trPr>
        <w:tc>
          <w:tcPr>
            <w:tcW w:w="504" w:type="pct"/>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由国家体育总局认定，国际奥委会不认定的项目类别，得5分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739"/>
        </w:trPr>
        <w:tc>
          <w:tcPr>
            <w:tcW w:w="504" w:type="pct"/>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赛事知识产权归属</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（16分）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拥有自主知识产权、市场价值大、有一定影响力的全国级别及以上赛事，得16分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658"/>
        </w:trPr>
        <w:tc>
          <w:tcPr>
            <w:tcW w:w="504" w:type="pct"/>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拥有自主知识产权、市场价值较大、有一定影响力的全国级以下级别赛事，得8分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69"/>
        </w:trPr>
        <w:tc>
          <w:tcPr>
            <w:tcW w:w="504" w:type="pct"/>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运动员（队）水平</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针对自创品牌赛事中参赛运动员或运动队在国际排名1-150名占8位及以上的，得8分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650"/>
        </w:trPr>
        <w:tc>
          <w:tcPr>
            <w:tcW w:w="504" w:type="pct"/>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针对自创品牌赛事中参赛运动员或运动队在全国排名1-100名占4位及以上的，得4分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国际体育组</w:t>
            </w:r>
            <w:r w:rsidRPr="0060696C">
              <w:rPr>
                <w:rFonts w:ascii="宋体" w:eastAsia="宋体" w:hAnsi="宋体" w:cs="宋体" w:hint="eastAsia"/>
                <w:color w:val="666666"/>
                <w:kern w:val="0"/>
                <w:sz w:val="24"/>
                <w:szCs w:val="24"/>
              </w:rPr>
              <w:lastRenderedPageBreak/>
              <w:t>织或国家体育总局项目管理中心、协会认定</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国际体育组织或国家体育总局项目管理中</w:t>
            </w:r>
            <w:r w:rsidRPr="0060696C">
              <w:rPr>
                <w:rFonts w:ascii="宋体" w:eastAsia="宋体" w:hAnsi="宋体" w:cs="宋体" w:hint="eastAsia"/>
                <w:color w:val="666666"/>
                <w:kern w:val="0"/>
                <w:sz w:val="24"/>
                <w:szCs w:val="24"/>
              </w:rPr>
              <w:lastRenderedPageBreak/>
              <w:t>心、协会授权或主办的，得10分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计分</w:t>
            </w:r>
          </w:p>
        </w:tc>
      </w:tr>
      <w:tr w:rsidR="0060696C" w:rsidRPr="0060696C" w:rsidTr="0060696C">
        <w:trPr>
          <w:trHeight w:val="405"/>
        </w:trPr>
        <w:tc>
          <w:tcPr>
            <w:tcW w:w="504" w:type="pct"/>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国际体育组织或国家体育总局项目管理中心、协会支持或认定的，得5分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赛事安全</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制定赛事现场安保、外事、医疗救护、食品安全、现场设施设备搭建等应急方案并根据方案执行的，得10分，缺少一项扣2分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val="restart"/>
            <w:tcBorders>
              <w:top w:val="nil"/>
              <w:left w:val="single" w:sz="8" w:space="0" w:color="000000"/>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影响力</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（34分）</w:t>
            </w:r>
          </w:p>
        </w:tc>
        <w:tc>
          <w:tcPr>
            <w:tcW w:w="75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境外和中央主流媒体直播和专题报道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境外或中央级媒体直播（含现场直播）、转播、录播1次及以上得4分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三项打分并汇总，累计不超过10分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境外或中央级新媒体直播（含现场直播）、转播、录播1次及以上得4分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single" w:sz="8" w:space="0" w:color="000000"/>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239"/>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境外或中央级传统媒体有专题或专版报道1次及以上得2分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single" w:sz="8" w:space="0" w:color="000000"/>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47"/>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省、市主流媒体直播、转播和专题报道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省、市主流媒体直播（含现场直播）、转播、录播，2次及以上得3分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三项打分并汇总，累计不超过5分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省、市级新媒体专版或专栏报道2次及以上得1分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省、市级报纸等传统媒体专题或专版报道2次及以上的得1分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val="restart"/>
            <w:tcBorders>
              <w:top w:val="nil"/>
              <w:left w:val="single" w:sz="8" w:space="0" w:color="000000"/>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影响力</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（34分）</w:t>
            </w:r>
          </w:p>
        </w:tc>
        <w:tc>
          <w:tcPr>
            <w:tcW w:w="752"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体育专业媒体直播、转播和专题报道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2家及以上的专业体育直播平台直播得3分；2家及以上专业体育门户网站专版、专栏报道赛事的，得2分；没有则不得分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两项打分并汇总，累计不超过5分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持续办赛次数</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该赛事将连续在成都举办第3届及以上，得4分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该赛事将连续在成都举办2届及以上的，得2分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赞助品牌价值</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2736" w:type="pc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有1家及以上上市公司赞助的，得10分</w:t>
            </w:r>
          </w:p>
        </w:tc>
        <w:tc>
          <w:tcPr>
            <w:tcW w:w="386" w:type="pc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有1家及以上其他公司赞助的，得6分</w:t>
            </w:r>
          </w:p>
        </w:tc>
        <w:tc>
          <w:tcPr>
            <w:tcW w:w="386" w:type="pc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val="restart"/>
            <w:tcBorders>
              <w:top w:val="nil"/>
              <w:left w:val="single" w:sz="8" w:space="0" w:color="000000"/>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社会和经济效益（16分）</w:t>
            </w:r>
          </w:p>
        </w:tc>
        <w:tc>
          <w:tcPr>
            <w:tcW w:w="75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社会资金投入</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社会资金的比例占办赛总经费100%的，得4分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三选一计分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社会资金的比例占办赛总经费70%的，得3分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社会资金的比例占办赛总经费50%的，得1分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促进体育产业发展（3分）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全国或省级体育产业企业参与数量为2家及以上的，得3分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本市体育产业企业参与数量为1家的，得1分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促进国际或国内交流</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国际或国内交流活动情况超过1次及以上，得2分，没有不得分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赛事配套活动</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（3分）</w:t>
            </w:r>
          </w:p>
        </w:tc>
        <w:tc>
          <w:tcPr>
            <w:tcW w:w="2736" w:type="pc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提供惠民活动1次及以上的，得2分</w:t>
            </w:r>
          </w:p>
        </w:tc>
        <w:tc>
          <w:tcPr>
            <w:tcW w:w="386" w:type="pc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两项打分并汇总，累计不超过3分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有推广活动1次及以上的，得1分</w:t>
            </w:r>
          </w:p>
        </w:tc>
        <w:tc>
          <w:tcPr>
            <w:tcW w:w="386" w:type="pct"/>
            <w:tcBorders>
              <w:top w:val="single" w:sz="8" w:space="0" w:color="000000"/>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选手满意度</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参赛选手非</w:t>
            </w:r>
            <w:r w:rsidRPr="0060696C">
              <w:rPr>
                <w:rFonts w:ascii="宋体" w:eastAsia="宋体" w:hAnsi="宋体" w:cs="宋体" w:hint="eastAsia"/>
                <w:color w:val="666666"/>
                <w:spacing w:val="-6"/>
                <w:kern w:val="0"/>
                <w:sz w:val="24"/>
                <w:szCs w:val="24"/>
              </w:rPr>
              <w:t>常满意和满意度占总数80%及以上的，得2分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参赛选手非常满意和满意度占总数80%以下的，得1分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观众满意度</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（2分）</w:t>
            </w: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现场观众非常满意和</w:t>
            </w:r>
            <w:r w:rsidRPr="0060696C">
              <w:rPr>
                <w:rFonts w:ascii="宋体" w:eastAsia="宋体" w:hAnsi="宋体" w:cs="宋体" w:hint="eastAsia"/>
                <w:color w:val="666666"/>
                <w:spacing w:val="-6"/>
                <w:kern w:val="0"/>
                <w:sz w:val="24"/>
                <w:szCs w:val="24"/>
              </w:rPr>
              <w:t>满意度占总数80%及以上的，得2分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val="restart"/>
            <w:tcBorders>
              <w:top w:val="nil"/>
              <w:left w:val="nil"/>
              <w:bottom w:val="nil"/>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420"/>
        </w:trPr>
        <w:tc>
          <w:tcPr>
            <w:tcW w:w="504" w:type="pct"/>
            <w:vMerge/>
            <w:tcBorders>
              <w:top w:val="nil"/>
              <w:left w:val="single" w:sz="8" w:space="0" w:color="000000"/>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75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273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现场观众非常满意和满意度占总数80%以下的，得1分</w:t>
            </w:r>
          </w:p>
        </w:tc>
        <w:tc>
          <w:tcPr>
            <w:tcW w:w="386" w:type="pct"/>
            <w:tcBorders>
              <w:top w:val="nil"/>
              <w:left w:val="nil"/>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622" w:type="pct"/>
            <w:vMerge/>
            <w:tcBorders>
              <w:top w:val="nil"/>
              <w:left w:val="nil"/>
              <w:bottom w:val="nil"/>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bl>
    <w:p w:rsidR="0060696C" w:rsidRPr="0060696C" w:rsidRDefault="0060696C" w:rsidP="0060696C">
      <w:pPr>
        <w:widowControl/>
        <w:shd w:val="clear" w:color="auto" w:fill="FFFFFF"/>
        <w:spacing w:after="289" w:line="70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br/>
        <w:t>社会力量举办重大文旅活动评价指标体系</w:t>
      </w:r>
    </w:p>
    <w:tbl>
      <w:tblPr>
        <w:tblW w:w="0" w:type="auto"/>
        <w:shd w:val="clear" w:color="auto" w:fill="FFFFFF"/>
        <w:tblCellMar>
          <w:left w:w="0" w:type="dxa"/>
          <w:right w:w="0" w:type="dxa"/>
        </w:tblCellMar>
        <w:tblLook w:val="04A0"/>
      </w:tblPr>
      <w:tblGrid>
        <w:gridCol w:w="1055"/>
        <w:gridCol w:w="1393"/>
        <w:gridCol w:w="4195"/>
        <w:gridCol w:w="388"/>
        <w:gridCol w:w="1305"/>
      </w:tblGrid>
      <w:tr w:rsidR="0060696C" w:rsidRPr="0060696C" w:rsidTr="0060696C">
        <w:trPr>
          <w:trHeight w:val="484"/>
        </w:trPr>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一级指标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三级指标</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计分栏</w:t>
            </w:r>
          </w:p>
        </w:tc>
        <w:tc>
          <w:tcPr>
            <w:tcW w:w="0" w:type="auto"/>
            <w:tcBorders>
              <w:top w:val="single" w:sz="8" w:space="0" w:color="000000"/>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备注</w:t>
            </w:r>
          </w:p>
        </w:tc>
      </w:tr>
      <w:tr w:rsidR="0060696C" w:rsidRPr="0060696C" w:rsidTr="0060696C">
        <w:trPr>
          <w:trHeight w:val="448"/>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活动</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质量</w:t>
            </w:r>
          </w:p>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（50分）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项目类别</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音乐会、演唱会、文化、旅游推介活动，得10分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481"/>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其他项目类别，得5分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活动知识产权归属</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拥有自主知识产权、市场价值大、有一定影响力的全国级别及以上活动，得6分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活动知识产权归属</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（16分）</w:t>
            </w: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拥有自主知识产权、市场价值较大、有一定影响力的全国级以下级别活动，得3分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活动级别</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市级以上文旅行政主管部门认可的具有重大影响力的文旅活动，得10分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57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其他四川省级以上文旅活动，得5分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44"/>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嘉宾水平</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存在出席活动嘉宾</w:t>
            </w:r>
            <w:r w:rsidRPr="0060696C">
              <w:rPr>
                <w:rFonts w:ascii="宋体" w:eastAsia="宋体" w:hAnsi="宋体" w:cs="宋体" w:hint="eastAsia"/>
                <w:color w:val="666666"/>
                <w:spacing w:val="-6"/>
                <w:kern w:val="0"/>
                <w:sz w:val="24"/>
                <w:szCs w:val="24"/>
              </w:rPr>
              <w:t>全网粉丝量5000万以上的，得10分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w:t>
            </w:r>
          </w:p>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计分</w:t>
            </w:r>
          </w:p>
        </w:tc>
      </w:tr>
      <w:tr w:rsidR="0060696C" w:rsidRPr="0060696C" w:rsidTr="0060696C">
        <w:trPr>
          <w:trHeight w:val="360"/>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存在出席活动嘉宾</w:t>
            </w:r>
            <w:r w:rsidRPr="0060696C">
              <w:rPr>
                <w:rFonts w:ascii="宋体" w:eastAsia="宋体" w:hAnsi="宋体" w:cs="宋体" w:hint="eastAsia"/>
                <w:color w:val="666666"/>
                <w:spacing w:val="-6"/>
                <w:kern w:val="0"/>
                <w:sz w:val="24"/>
                <w:szCs w:val="24"/>
              </w:rPr>
              <w:t>全网粉丝量1000万以上的，得6分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活动安全</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制定活动现场安保、消防、外事、舆情、医疗救护、食品安全、现场设施设备搭建等应急方案并根据方案执行的，得14分，缺少一项扣2分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活动</w:t>
            </w:r>
          </w:p>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影响力</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（30分）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境外和中央主流媒体直播和专题报道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（10分）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中央级媒体直播（含现场直播）、转播、录播1次及以上得4分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三项打分并汇总，累计不超过10分</w:t>
            </w: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中央级新媒体直播（含现场直播）、转播、录播1次及以上得4分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中央级传统媒体有专题或专版报道1次及以上得2分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省、市主流媒体直播、转播和专题报道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省、市主流媒体直播（含现场直播）、转播、录播，2次及以上得3分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三项打分并汇总，累计不超过5分</w:t>
            </w: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省、市级新媒体专版或专栏报道2次及以上得1分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省、市级报纸等传统媒体专题或专版报道2次及以上的得1分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主流媒体直播、</w:t>
            </w:r>
            <w:r w:rsidRPr="0060696C">
              <w:rPr>
                <w:rFonts w:ascii="宋体" w:eastAsia="宋体" w:hAnsi="宋体" w:cs="宋体" w:hint="eastAsia"/>
                <w:color w:val="666666"/>
                <w:spacing w:val="-10"/>
                <w:kern w:val="0"/>
                <w:sz w:val="24"/>
                <w:szCs w:val="24"/>
              </w:rPr>
              <w:t>转播和专题报道</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2家及以上的主流直播平台直播得3分；2家及以上主流门户网站专版、专栏报道活动的，得2分；没有则不得分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两项打分并汇总，累计不超过5分</w:t>
            </w: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持续举办活动次数</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该活动连续在成都举办第3届及以上，得4分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该活动连续在成都举办2届及以上的，得2分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赞助品牌价值</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有1家及以上上市公司赞助的，得6分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社会和经济效益（20分）</w:t>
            </w: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资金投入能级</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（8分）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总投入资金达到3000万的，得8分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三选一计分</w:t>
            </w: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总投入资金达到1000万的，得5分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总投入资金达到500万的，得2分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促进文旅产业发展（3分）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全国或省级文旅产业企业参与数量为2家及以上的，得3分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本市文旅产业企业参与数量为1家的，得1分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促进国际或国内交流</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国际或国内交流活动情况超过1次及以上，得2分，没有不得分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文旅配套活动</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提供惠民活动1次及以上的，得2分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两项打分并汇总，累计不超过3分</w:t>
            </w: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有推广活动1次及以上的，得1分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textAlignment w:val="center"/>
              <w:rPr>
                <w:rFonts w:ascii="微软雅黑" w:eastAsia="微软雅黑" w:hAnsi="微软雅黑" w:cs="宋体" w:hint="eastAsia"/>
                <w:color w:val="666666"/>
                <w:kern w:val="0"/>
                <w:sz w:val="18"/>
                <w:szCs w:val="18"/>
              </w:rPr>
            </w:pPr>
            <w:r w:rsidRPr="0060696C">
              <w:rPr>
                <w:rFonts w:ascii="宋体" w:eastAsia="宋体" w:hAnsi="宋体" w:cs="宋体" w:hint="eastAsia"/>
                <w:color w:val="666666"/>
                <w:kern w:val="0"/>
                <w:sz w:val="24"/>
                <w:szCs w:val="24"/>
              </w:rPr>
              <w:t>观众满意度</w:t>
            </w:r>
          </w:p>
          <w:p w:rsidR="0060696C" w:rsidRPr="0060696C" w:rsidRDefault="0060696C" w:rsidP="0060696C">
            <w:pPr>
              <w:widowControl/>
              <w:spacing w:line="320" w:lineRule="atLeast"/>
              <w:jc w:val="center"/>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现场观众非常满意和满意度占总数80%及以上的，得4分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val="restart"/>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二选一计分</w:t>
            </w:r>
          </w:p>
        </w:tc>
      </w:tr>
      <w:tr w:rsidR="0060696C" w:rsidRPr="0060696C" w:rsidTr="0060696C">
        <w:trPr>
          <w:trHeight w:val="675"/>
        </w:trPr>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spacing w:line="320" w:lineRule="atLeast"/>
              <w:jc w:val="left"/>
              <w:textAlignment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现场观众非常满意和满意度占总数60%及以上的，得1分</w:t>
            </w:r>
          </w:p>
        </w:tc>
        <w:tc>
          <w:tcPr>
            <w:tcW w:w="0" w:type="auto"/>
            <w:tcBorders>
              <w:top w:val="nil"/>
              <w:left w:val="single" w:sz="8" w:space="0" w:color="000000"/>
              <w:bottom w:val="single" w:sz="8" w:space="0" w:color="000000"/>
              <w:right w:val="nil"/>
            </w:tcBorders>
            <w:shd w:val="clear" w:color="auto" w:fill="FFFFFF"/>
            <w:tcMar>
              <w:top w:w="15" w:type="dxa"/>
              <w:left w:w="15" w:type="dxa"/>
              <w:bottom w:w="0" w:type="dxa"/>
              <w:right w:w="15"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vMerge/>
            <w:tcBorders>
              <w:top w:val="nil"/>
              <w:left w:val="single" w:sz="8" w:space="0" w:color="000000"/>
              <w:bottom w:val="single" w:sz="8" w:space="0" w:color="000000"/>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bl>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br/>
        <w:t>附件5</w:t>
      </w:r>
    </w:p>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名词解释</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1．第（十四）条中，“同类型条款”的界定标准为以“政策支持的支持方式（资金补助、贷款贴息、租金减免等）、支持目的（项目建设、企业升规、市场开拓等）”为核心判定要素，如本措施第（一）条与其他政策中“项目固定资产投入补助”属于同类型条款；</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2．本实施细则申报流程与会审部门中产业园区特指成都东部新区简州新城、未来医学城、空港新城、成都天府奥体公园等成都市级以上产业园区；</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3．本实施细则申报流程与会审部门中涉及局部均为成都东部新区管理委员会直管部门。</w:t>
      </w:r>
    </w:p>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br/>
        <w:t>附件6</w:t>
      </w:r>
    </w:p>
    <w:p w:rsidR="0060696C" w:rsidRPr="0060696C" w:rsidRDefault="0060696C" w:rsidP="0060696C">
      <w:pPr>
        <w:widowControl/>
        <w:shd w:val="clear" w:color="auto" w:fill="FFFFFF"/>
        <w:spacing w:line="680" w:lineRule="atLeast"/>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支持成都天府奥体公园文旅体产业高质量发展的若干措施申请表</w:t>
      </w:r>
    </w:p>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343434"/>
          <w:kern w:val="0"/>
          <w:sz w:val="24"/>
          <w:szCs w:val="24"/>
        </w:rPr>
        <w:t>企业名称：（公章）                    申报时间：    年  月  日</w:t>
      </w:r>
    </w:p>
    <w:tbl>
      <w:tblPr>
        <w:tblW w:w="0" w:type="auto"/>
        <w:shd w:val="clear" w:color="auto" w:fill="FFFFFF"/>
        <w:tblCellMar>
          <w:left w:w="0" w:type="dxa"/>
          <w:right w:w="0" w:type="dxa"/>
        </w:tblCellMar>
        <w:tblLook w:val="04A0"/>
      </w:tblPr>
      <w:tblGrid>
        <w:gridCol w:w="2616"/>
        <w:gridCol w:w="222"/>
        <w:gridCol w:w="1176"/>
        <w:gridCol w:w="222"/>
        <w:gridCol w:w="2136"/>
        <w:gridCol w:w="222"/>
      </w:tblGrid>
      <w:tr w:rsidR="0060696C" w:rsidRPr="0060696C" w:rsidTr="0060696C">
        <w:trPr>
          <w:trHeight w:val="567"/>
        </w:trPr>
        <w:tc>
          <w:tcPr>
            <w:tcW w:w="0" w:type="auto"/>
            <w:tcBorders>
              <w:top w:val="single" w:sz="8" w:space="0" w:color="auto"/>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法人代表</w:t>
            </w:r>
          </w:p>
        </w:tc>
        <w:tc>
          <w:tcPr>
            <w:tcW w:w="0" w:type="auto"/>
            <w:tcBorders>
              <w:top w:val="single" w:sz="8" w:space="0" w:color="auto"/>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single" w:sz="8" w:space="0" w:color="auto"/>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联系电话</w:t>
            </w:r>
          </w:p>
        </w:tc>
        <w:tc>
          <w:tcPr>
            <w:tcW w:w="0" w:type="auto"/>
            <w:tcBorders>
              <w:top w:val="single" w:sz="8" w:space="0" w:color="auto"/>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single" w:sz="8" w:space="0" w:color="auto"/>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属地关系</w:t>
            </w:r>
          </w:p>
        </w:tc>
        <w:tc>
          <w:tcPr>
            <w:tcW w:w="0" w:type="auto"/>
            <w:tcBorders>
              <w:top w:val="single" w:sz="8" w:space="0" w:color="auto"/>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67"/>
        </w:trPr>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经办人姓名</w:t>
            </w:r>
          </w:p>
        </w:tc>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联系电话</w:t>
            </w:r>
          </w:p>
        </w:tc>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注册（实收）资本</w:t>
            </w:r>
          </w:p>
        </w:tc>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67"/>
        </w:trPr>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统一社会信用代码</w:t>
            </w:r>
          </w:p>
        </w:tc>
        <w:tc>
          <w:tcPr>
            <w:tcW w:w="0" w:type="auto"/>
            <w:gridSpan w:val="3"/>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成立时间</w:t>
            </w:r>
          </w:p>
        </w:tc>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567"/>
        </w:trPr>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企业扶持奖励项目名称</w:t>
            </w:r>
          </w:p>
        </w:tc>
        <w:tc>
          <w:tcPr>
            <w:tcW w:w="0" w:type="auto"/>
            <w:gridSpan w:val="5"/>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r>
      <w:tr w:rsidR="0060696C" w:rsidRPr="0060696C" w:rsidTr="0060696C">
        <w:trPr>
          <w:trHeight w:val="1378"/>
        </w:trPr>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企业扶持奖励项目简介</w:t>
            </w:r>
          </w:p>
        </w:tc>
        <w:tc>
          <w:tcPr>
            <w:tcW w:w="0" w:type="auto"/>
            <w:gridSpan w:val="5"/>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（300字内）</w:t>
            </w:r>
          </w:p>
        </w:tc>
      </w:tr>
      <w:tr w:rsidR="0060696C" w:rsidRPr="0060696C" w:rsidTr="0060696C">
        <w:trPr>
          <w:trHeight w:val="428"/>
        </w:trPr>
        <w:tc>
          <w:tcPr>
            <w:tcW w:w="0" w:type="auto"/>
            <w:vMerge w:val="restart"/>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企业扶持奖励金额</w:t>
            </w:r>
          </w:p>
        </w:tc>
        <w:tc>
          <w:tcPr>
            <w:tcW w:w="0" w:type="auto"/>
            <w:gridSpan w:val="5"/>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0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小写：          大写：</w:t>
            </w:r>
          </w:p>
        </w:tc>
      </w:tr>
      <w:tr w:rsidR="0060696C" w:rsidRPr="0060696C" w:rsidTr="0060696C">
        <w:trPr>
          <w:trHeight w:val="548"/>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gridSpan w:val="5"/>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0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企业基本户开户行：</w:t>
            </w:r>
          </w:p>
        </w:tc>
      </w:tr>
      <w:tr w:rsidR="0060696C" w:rsidRPr="0060696C" w:rsidTr="0060696C">
        <w:trPr>
          <w:trHeight w:val="567"/>
        </w:trPr>
        <w:tc>
          <w:tcPr>
            <w:tcW w:w="0" w:type="auto"/>
            <w:vMerge/>
            <w:tcBorders>
              <w:top w:val="nil"/>
              <w:left w:val="single" w:sz="8" w:space="0" w:color="auto"/>
              <w:bottom w:val="single" w:sz="8" w:space="0" w:color="auto"/>
              <w:right w:val="nil"/>
            </w:tcBorders>
            <w:shd w:val="clear" w:color="auto" w:fill="FFFFFF"/>
            <w:vAlign w:val="center"/>
            <w:hideMark/>
          </w:tcPr>
          <w:p w:rsidR="0060696C" w:rsidRPr="0060696C" w:rsidRDefault="0060696C" w:rsidP="0060696C">
            <w:pPr>
              <w:widowControl/>
              <w:jc w:val="left"/>
              <w:rPr>
                <w:rFonts w:ascii="微软雅黑" w:eastAsia="微软雅黑" w:hAnsi="微软雅黑" w:cs="宋体"/>
                <w:color w:val="666666"/>
                <w:kern w:val="0"/>
                <w:sz w:val="18"/>
                <w:szCs w:val="18"/>
              </w:rPr>
            </w:pPr>
          </w:p>
        </w:tc>
        <w:tc>
          <w:tcPr>
            <w:tcW w:w="0" w:type="auto"/>
            <w:gridSpan w:val="5"/>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0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企业基本户账号：</w:t>
            </w:r>
          </w:p>
        </w:tc>
      </w:tr>
      <w:tr w:rsidR="0060696C" w:rsidRPr="0060696C" w:rsidTr="0060696C">
        <w:trPr>
          <w:trHeight w:val="567"/>
        </w:trPr>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lastRenderedPageBreak/>
              <w:t>初审意见</w:t>
            </w:r>
          </w:p>
        </w:tc>
        <w:tc>
          <w:tcPr>
            <w:tcW w:w="0" w:type="auto"/>
            <w:gridSpan w:val="5"/>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60" w:lineRule="atLeast"/>
              <w:ind w:firstLine="708"/>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单位盖章：</w:t>
            </w:r>
          </w:p>
          <w:p w:rsidR="0060696C" w:rsidRPr="0060696C" w:rsidRDefault="0060696C" w:rsidP="0060696C">
            <w:pPr>
              <w:widowControl/>
              <w:spacing w:line="360" w:lineRule="atLeast"/>
              <w:ind w:firstLine="1416"/>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年  月  日</w:t>
            </w:r>
          </w:p>
        </w:tc>
      </w:tr>
      <w:tr w:rsidR="0060696C" w:rsidRPr="0060696C" w:rsidTr="0060696C">
        <w:trPr>
          <w:trHeight w:val="567"/>
        </w:trPr>
        <w:tc>
          <w:tcPr>
            <w:tcW w:w="0" w:type="auto"/>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20" w:lineRule="atLeast"/>
              <w:jc w:val="center"/>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相关部门会审意见</w:t>
            </w:r>
          </w:p>
        </w:tc>
        <w:tc>
          <w:tcPr>
            <w:tcW w:w="0" w:type="auto"/>
            <w:gridSpan w:val="5"/>
            <w:tcBorders>
              <w:top w:val="nil"/>
              <w:left w:val="single" w:sz="8" w:space="0" w:color="auto"/>
              <w:bottom w:val="single" w:sz="8" w:space="0" w:color="auto"/>
              <w:right w:val="nil"/>
            </w:tcBorders>
            <w:shd w:val="clear" w:color="auto" w:fill="FFFFFF"/>
            <w:tcMar>
              <w:top w:w="0" w:type="dxa"/>
              <w:left w:w="108" w:type="dxa"/>
              <w:bottom w:w="0" w:type="dxa"/>
              <w:right w:w="108" w:type="dxa"/>
            </w:tcMar>
            <w:vAlign w:val="center"/>
            <w:hideMark/>
          </w:tcPr>
          <w:p w:rsidR="0060696C" w:rsidRPr="0060696C" w:rsidRDefault="0060696C" w:rsidP="0060696C">
            <w:pPr>
              <w:widowControl/>
              <w:spacing w:line="360" w:lineRule="atLeast"/>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单位盖章：</w:t>
            </w:r>
          </w:p>
          <w:p w:rsidR="0060696C" w:rsidRPr="0060696C" w:rsidRDefault="0060696C" w:rsidP="0060696C">
            <w:pPr>
              <w:widowControl/>
              <w:spacing w:line="360" w:lineRule="atLeast"/>
              <w:ind w:firstLine="1416"/>
              <w:jc w:val="left"/>
              <w:rPr>
                <w:rFonts w:ascii="微软雅黑" w:eastAsia="微软雅黑" w:hAnsi="微软雅黑" w:cs="宋体"/>
                <w:color w:val="666666"/>
                <w:kern w:val="0"/>
                <w:sz w:val="18"/>
                <w:szCs w:val="18"/>
              </w:rPr>
            </w:pPr>
            <w:r w:rsidRPr="0060696C">
              <w:rPr>
                <w:rFonts w:ascii="宋体" w:eastAsia="宋体" w:hAnsi="宋体" w:cs="宋体" w:hint="eastAsia"/>
                <w:color w:val="666666"/>
                <w:kern w:val="0"/>
                <w:sz w:val="24"/>
                <w:szCs w:val="24"/>
              </w:rPr>
              <w:t>年  月  日</w:t>
            </w:r>
          </w:p>
        </w:tc>
      </w:tr>
    </w:tbl>
    <w:p w:rsidR="0060696C" w:rsidRPr="0060696C" w:rsidRDefault="0060696C" w:rsidP="0060696C">
      <w:pPr>
        <w:widowControl/>
        <w:shd w:val="clear" w:color="auto" w:fill="FFFFFF"/>
        <w:spacing w:line="360" w:lineRule="atLeast"/>
        <w:ind w:left="1179" w:hanging="1180"/>
        <w:jc w:val="left"/>
        <w:rPr>
          <w:rFonts w:ascii="微软雅黑" w:eastAsia="微软雅黑" w:hAnsi="微软雅黑" w:cs="宋体" w:hint="eastAsia"/>
          <w:color w:val="666666"/>
          <w:kern w:val="0"/>
          <w:szCs w:val="21"/>
        </w:rPr>
      </w:pPr>
      <w:r w:rsidRPr="0060696C">
        <w:rPr>
          <w:rFonts w:ascii="宋体" w:eastAsia="宋体" w:hAnsi="宋体" w:cs="宋体" w:hint="eastAsia"/>
          <w:color w:val="343434"/>
          <w:kern w:val="0"/>
          <w:sz w:val="24"/>
          <w:szCs w:val="24"/>
        </w:rPr>
        <w:t>填表说明：本表一式三份，分别由产业园区、教育卫健和文旅体局、区财政局各留存一份。</w:t>
      </w:r>
    </w:p>
    <w:p w:rsidR="0060696C" w:rsidRPr="0060696C" w:rsidRDefault="0060696C" w:rsidP="0060696C">
      <w:pPr>
        <w:widowControl/>
        <w:shd w:val="clear" w:color="auto" w:fill="FFFFFF"/>
        <w:spacing w:line="360" w:lineRule="atLeast"/>
        <w:ind w:left="1179" w:hanging="1180"/>
        <w:jc w:val="left"/>
        <w:rPr>
          <w:rFonts w:ascii="微软雅黑" w:eastAsia="微软雅黑" w:hAnsi="微软雅黑" w:cs="宋体" w:hint="eastAsia"/>
          <w:color w:val="666666"/>
          <w:kern w:val="0"/>
          <w:szCs w:val="21"/>
        </w:rPr>
      </w:pPr>
      <w:r w:rsidRPr="0060696C">
        <w:rPr>
          <w:rFonts w:ascii="宋体" w:eastAsia="宋体" w:hAnsi="宋体" w:cs="宋体" w:hint="eastAsia"/>
          <w:color w:val="343434"/>
          <w:kern w:val="0"/>
          <w:sz w:val="24"/>
          <w:szCs w:val="24"/>
        </w:rPr>
        <w:br/>
      </w:r>
      <w:r w:rsidRPr="0060696C">
        <w:rPr>
          <w:rFonts w:ascii="宋体" w:eastAsia="宋体" w:hAnsi="宋体" w:cs="宋体" w:hint="eastAsia"/>
          <w:color w:val="666666"/>
          <w:kern w:val="0"/>
          <w:sz w:val="24"/>
          <w:szCs w:val="24"/>
        </w:rPr>
        <w:t>附件7</w:t>
      </w:r>
    </w:p>
    <w:p w:rsidR="0060696C" w:rsidRPr="0060696C" w:rsidRDefault="0060696C" w:rsidP="0060696C">
      <w:pPr>
        <w:widowControl/>
        <w:shd w:val="clear" w:color="auto" w:fill="FFFFFF"/>
        <w:spacing w:line="360" w:lineRule="atLeast"/>
        <w:ind w:left="1179" w:hanging="1180"/>
        <w:jc w:val="left"/>
        <w:rPr>
          <w:rFonts w:ascii="微软雅黑" w:eastAsia="微软雅黑" w:hAnsi="微软雅黑" w:cs="宋体" w:hint="eastAsia"/>
          <w:color w:val="666666"/>
          <w:kern w:val="0"/>
          <w:szCs w:val="21"/>
        </w:rPr>
      </w:pPr>
      <w:r w:rsidRPr="0060696C">
        <w:rPr>
          <w:rFonts w:ascii="宋体" w:eastAsia="宋体" w:hAnsi="宋体" w:cs="宋体" w:hint="eastAsia"/>
          <w:color w:val="343434"/>
          <w:kern w:val="0"/>
          <w:sz w:val="24"/>
          <w:szCs w:val="24"/>
        </w:rPr>
        <w:t>      </w:t>
      </w:r>
      <w:r w:rsidRPr="0060696C">
        <w:rPr>
          <w:rFonts w:ascii="宋体" w:eastAsia="宋体" w:hAnsi="宋体" w:cs="宋体" w:hint="eastAsia"/>
          <w:color w:val="666666"/>
          <w:kern w:val="0"/>
          <w:sz w:val="24"/>
          <w:szCs w:val="24"/>
        </w:rPr>
        <w:t>诚信申报承诺书</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本单位就    年申报的项目做出如下承诺：</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1．本单位所申报项目真实，报送的所有证明材料均真实无误、合法有效。</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2．本单位所申报项目无知识产权、所有权、承办权等争议。</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3．本单位没有因违反法律法规，被有关部门裁定为严重失信行为。</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4．该项目未获得区级财政其他专项资金支持。</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5．本单位愿意承担因材料不实而引发的全部责任和后果。</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以上承诺如有违背，同意按规定退回补助资金，并按照相关规定接受处罚。</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申报单位：（公章）</w:t>
      </w:r>
    </w:p>
    <w:p w:rsidR="0060696C" w:rsidRPr="0060696C" w:rsidRDefault="0060696C" w:rsidP="0060696C">
      <w:pPr>
        <w:widowControl/>
        <w:shd w:val="clear" w:color="auto" w:fill="FFFFFF"/>
        <w:ind w:firstLine="472"/>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法定代表人：（签字）</w:t>
      </w:r>
    </w:p>
    <w:p w:rsidR="0060696C" w:rsidRPr="0060696C" w:rsidRDefault="0060696C" w:rsidP="0060696C">
      <w:pPr>
        <w:widowControl/>
        <w:shd w:val="clear" w:color="auto" w:fill="FFFFFF"/>
        <w:jc w:val="left"/>
        <w:rPr>
          <w:rFonts w:ascii="微软雅黑" w:eastAsia="微软雅黑" w:hAnsi="微软雅黑" w:cs="宋体" w:hint="eastAsia"/>
          <w:color w:val="666666"/>
          <w:kern w:val="0"/>
          <w:szCs w:val="21"/>
        </w:rPr>
      </w:pPr>
      <w:r w:rsidRPr="0060696C">
        <w:rPr>
          <w:rFonts w:ascii="宋体" w:eastAsia="宋体" w:hAnsi="宋体" w:cs="宋体" w:hint="eastAsia"/>
          <w:color w:val="666666"/>
          <w:kern w:val="0"/>
          <w:sz w:val="24"/>
          <w:szCs w:val="24"/>
        </w:rPr>
        <w:t>   年  月  日</w:t>
      </w:r>
    </w:p>
    <w:p w:rsidR="00AC136B" w:rsidRDefault="00AC136B"/>
    <w:sectPr w:rsidR="00AC136B" w:rsidSect="00AC136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0696C"/>
    <w:rsid w:val="0060696C"/>
    <w:rsid w:val="00AC13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136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0696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223756488">
      <w:bodyDiv w:val="1"/>
      <w:marLeft w:val="0"/>
      <w:marRight w:val="0"/>
      <w:marTop w:val="0"/>
      <w:marBottom w:val="0"/>
      <w:divBdr>
        <w:top w:val="none" w:sz="0" w:space="0" w:color="auto"/>
        <w:left w:val="none" w:sz="0" w:space="0" w:color="auto"/>
        <w:bottom w:val="none" w:sz="0" w:space="0" w:color="auto"/>
        <w:right w:val="none" w:sz="0" w:space="0" w:color="auto"/>
      </w:divBdr>
    </w:div>
    <w:div w:id="161979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1492</Words>
  <Characters>8511</Characters>
  <Application>Microsoft Office Word</Application>
  <DocSecurity>0</DocSecurity>
  <Lines>70</Lines>
  <Paragraphs>19</Paragraphs>
  <ScaleCrop>false</ScaleCrop>
  <Company/>
  <LinksUpToDate>false</LinksUpToDate>
  <CharactersWithSpaces>9984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2025-11-10T08:18:00Z</dcterms:created>
  <dcterms:modified xsi:type="dcterms:W3CDTF">2025-11-10T08:21:00Z</dcterms:modified>
</cp:coreProperties>
</file>