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kinsoku w:val="0"/>
        <w:overflowPunct w:val="0"/>
        <w:snapToGrid w:val="0"/>
        <w:spacing w:line="579" w:lineRule="exact"/>
        <w:jc w:val="center"/>
        <w:rPr>
          <w:rFonts w:eastAsia="方正小标宋_GBK"/>
          <w:color w:val="000000"/>
          <w:sz w:val="44"/>
          <w:szCs w:val="44"/>
        </w:rPr>
      </w:pPr>
      <w:r>
        <w:rPr>
          <w:rFonts w:eastAsia="方正小标宋_GBK"/>
          <w:color w:val="000000"/>
          <w:sz w:val="44"/>
          <w:szCs w:val="44"/>
          <w:lang w:bidi="ar"/>
        </w:rPr>
        <w:t>成都经开区（龙泉驿区）制造业创新平台</w:t>
      </w:r>
    </w:p>
    <w:p>
      <w:pPr>
        <w:spacing w:line="579" w:lineRule="exact"/>
        <w:jc w:val="center"/>
        <w:rPr>
          <w:rFonts w:eastAsia="方正小标宋_GBK"/>
          <w:color w:val="000000"/>
          <w:sz w:val="44"/>
          <w:szCs w:val="44"/>
          <w:lang w:bidi="ar"/>
        </w:rPr>
      </w:pPr>
      <w:r>
        <w:rPr>
          <w:rFonts w:eastAsia="方正小标宋_GBK"/>
          <w:color w:val="000000"/>
          <w:sz w:val="44"/>
          <w:szCs w:val="44"/>
          <w:lang w:bidi="ar"/>
        </w:rPr>
        <w:t>认定管理办法</w:t>
      </w:r>
    </w:p>
    <w:p>
      <w:pPr>
        <w:spacing w:line="579" w:lineRule="exact"/>
        <w:jc w:val="center"/>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bidi="ar"/>
        </w:rPr>
        <w:t>（征求意见稿）</w:t>
      </w:r>
    </w:p>
    <w:p>
      <w:pPr>
        <w:snapToGrid w:val="0"/>
        <w:spacing w:line="579" w:lineRule="exact"/>
        <w:jc w:val="center"/>
        <w:rPr>
          <w:rFonts w:eastAsia="方正仿宋_GBK"/>
          <w:color w:val="000000"/>
          <w:sz w:val="32"/>
          <w:szCs w:val="32"/>
          <w:lang w:bidi="ar"/>
        </w:rPr>
      </w:pPr>
    </w:p>
    <w:p>
      <w:pPr>
        <w:numPr>
          <w:ilvl w:val="0"/>
          <w:numId w:val="1"/>
        </w:numPr>
        <w:spacing w:line="579" w:lineRule="exact"/>
        <w:ind w:left="0"/>
        <w:jc w:val="center"/>
        <w:rPr>
          <w:rFonts w:eastAsia="方正黑体_GBK"/>
          <w:color w:val="000000"/>
          <w:sz w:val="32"/>
          <w:szCs w:val="32"/>
        </w:rPr>
      </w:pPr>
      <w:r>
        <w:rPr>
          <w:rFonts w:eastAsia="方正黑体_GBK"/>
          <w:color w:val="000000"/>
          <w:sz w:val="32"/>
          <w:szCs w:val="32"/>
          <w:lang w:bidi="ar"/>
        </w:rPr>
        <w:t>总则</w:t>
      </w:r>
    </w:p>
    <w:p>
      <w:pPr>
        <w:numPr>
          <w:ilvl w:val="0"/>
          <w:numId w:val="2"/>
        </w:numPr>
        <w:snapToGrid w:val="0"/>
        <w:spacing w:line="579" w:lineRule="exact"/>
        <w:ind w:firstLine="640" w:firstLineChars="200"/>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lang w:bidi="ar"/>
        </w:rPr>
        <w:t>为贯彻落实龙泉驿区第十二次党代会关于大力实施创新驱动发展战略部署以及《科技创新驱动新质生产力培育三年行动计划》（成经开新科发〔2025〕1号），加快推进制造业创新平台全覆盖攻坚，为成渝制造业高地建设激发创新内生动能，特制定本办法。</w:t>
      </w:r>
    </w:p>
    <w:p>
      <w:pPr>
        <w:numPr>
          <w:ilvl w:val="0"/>
          <w:numId w:val="2"/>
        </w:numPr>
        <w:snapToGrid w:val="0"/>
        <w:spacing w:line="579" w:lineRule="exact"/>
        <w:ind w:firstLine="640" w:firstLineChars="200"/>
      </w:pPr>
      <w:r>
        <w:rPr>
          <w:rFonts w:eastAsia="方正仿宋_GBK"/>
          <w:color w:val="000000"/>
          <w:sz w:val="32"/>
          <w:szCs w:val="32"/>
          <w:shd w:val="clear" w:color="auto" w:fill="FFFFFF"/>
          <w:lang w:bidi="ar"/>
        </w:rPr>
        <w:t>本办法所称创新平台，是指围绕科技创新发展提升科技型企业创新能力，能够推动产业技术创新研发、促进产业链创新链深度融合，依托制造业企业组建的功能性平台。主要包括：工程研究中心、企业技术中心、产学研联合实验室、工程技术研究中心</w:t>
      </w:r>
      <w:r>
        <w:rPr>
          <w:rFonts w:hint="eastAsia" w:eastAsia="方正仿宋_GBK"/>
          <w:color w:val="000000"/>
          <w:sz w:val="32"/>
          <w:szCs w:val="32"/>
          <w:shd w:val="clear" w:color="auto" w:fill="FFFFFF"/>
          <w:lang w:bidi="ar"/>
        </w:rPr>
        <w:t>、博士创新站和省级及以上创新平台分中心</w:t>
      </w:r>
      <w:r>
        <w:rPr>
          <w:rFonts w:eastAsia="方正仿宋_GBK"/>
          <w:color w:val="000000"/>
          <w:sz w:val="32"/>
          <w:szCs w:val="32"/>
          <w:shd w:val="clear" w:color="auto" w:fill="FFFFFF"/>
          <w:lang w:bidi="ar"/>
        </w:rPr>
        <w:t>。</w:t>
      </w:r>
      <w:r>
        <w:rPr>
          <w:rFonts w:hint="eastAsia" w:eastAsia="方正仿宋_GBK"/>
          <w:color w:val="000000"/>
          <w:sz w:val="32"/>
          <w:szCs w:val="32"/>
          <w:shd w:val="clear" w:color="auto" w:fill="FFFFFF"/>
          <w:lang w:val="en-US" w:eastAsia="zh-CN" w:bidi="ar"/>
        </w:rPr>
        <w:t xml:space="preserve">                                       </w:t>
      </w:r>
    </w:p>
    <w:p>
      <w:pPr>
        <w:numPr>
          <w:ilvl w:val="0"/>
          <w:numId w:val="0"/>
        </w:numPr>
        <w:snapToGrid w:val="0"/>
        <w:spacing w:line="579" w:lineRule="exact"/>
        <w:ind w:leftChars="0"/>
        <w:rPr>
          <w:rFonts w:eastAsia="方正仿宋_GBK"/>
          <w:color w:val="000000"/>
          <w:sz w:val="32"/>
          <w:szCs w:val="32"/>
          <w:shd w:val="clear" w:color="auto" w:fill="FFFFFF"/>
        </w:rPr>
      </w:pPr>
      <w:r>
        <w:rPr>
          <w:rFonts w:hint="eastAsia" w:eastAsia="方正仿宋_GBK"/>
          <w:color w:val="000000"/>
          <w:sz w:val="32"/>
          <w:szCs w:val="32"/>
          <w:shd w:val="clear" w:color="auto" w:fill="FFFFFF"/>
          <w:lang w:val="en-US" w:eastAsia="zh-CN" w:bidi="ar"/>
        </w:rPr>
        <w:t xml:space="preserve">    第三条 </w:t>
      </w:r>
      <w:r>
        <w:rPr>
          <w:rFonts w:eastAsia="方正仿宋_GBK"/>
          <w:color w:val="000000"/>
          <w:sz w:val="32"/>
          <w:szCs w:val="32"/>
          <w:shd w:val="clear" w:color="auto" w:fill="FFFFFF"/>
          <w:lang w:bidi="ar"/>
        </w:rPr>
        <w:t>区发改局、区经信局、区新经济和科技局是创新平台建设的主要管理部门。区发改局主要负责区级工程研究中心的办法解释、建设指导、认定组建、调整撤销、验收评估等工作。区经信局主要负责区级企业技术中心的办法解释、建设指导、认定组建、调整撤销、验收评估等工作。区新经济和科技局主要负责区级产学研联合实验室、工程技术研究中心</w:t>
      </w:r>
      <w:r>
        <w:rPr>
          <w:rFonts w:hint="eastAsia" w:eastAsia="方正仿宋_GBK"/>
          <w:color w:val="000000"/>
          <w:sz w:val="32"/>
          <w:szCs w:val="32"/>
          <w:shd w:val="clear" w:color="auto" w:fill="FFFFFF"/>
          <w:lang w:bidi="ar"/>
        </w:rPr>
        <w:t>、博士创新站和省级及以上创新平台分中心</w:t>
      </w:r>
      <w:r>
        <w:rPr>
          <w:rFonts w:eastAsia="方正仿宋_GBK"/>
          <w:color w:val="000000"/>
          <w:sz w:val="32"/>
          <w:szCs w:val="32"/>
          <w:shd w:val="clear" w:color="auto" w:fill="FFFFFF"/>
          <w:lang w:bidi="ar"/>
        </w:rPr>
        <w:t>的办法解释、建设指导、认定组建、调整撤销、验收评估等工作。区新经济和科技局作为创新平台主要牵头联系部门，</w:t>
      </w:r>
      <w:r>
        <w:rPr>
          <w:rFonts w:hint="eastAsia" w:eastAsia="方正仿宋_GBK"/>
          <w:color w:val="000000"/>
          <w:sz w:val="32"/>
          <w:szCs w:val="32"/>
          <w:shd w:val="clear" w:color="auto" w:fill="FFFFFF"/>
          <w:lang w:bidi="ar"/>
        </w:rPr>
        <w:t>牵头建立创新平台信息共享数据库，定期向区发改局、经信局通报平台建设进度，</w:t>
      </w:r>
      <w:r>
        <w:rPr>
          <w:rFonts w:eastAsia="方正仿宋_GBK"/>
          <w:color w:val="000000"/>
          <w:sz w:val="32"/>
          <w:szCs w:val="32"/>
          <w:shd w:val="clear" w:color="auto" w:fill="FFFFFF"/>
          <w:lang w:bidi="ar"/>
        </w:rPr>
        <w:t>必要时组织区发改局、区经信局等相关部门共同开展工作。</w:t>
      </w:r>
    </w:p>
    <w:p>
      <w:pPr>
        <w:numPr>
          <w:ilvl w:val="0"/>
          <w:numId w:val="0"/>
        </w:numPr>
        <w:snapToGrid w:val="0"/>
        <w:spacing w:line="579" w:lineRule="exact"/>
        <w:ind w:leftChars="200" w:firstLine="320" w:firstLineChars="100"/>
        <w:rPr>
          <w:rFonts w:eastAsia="方正仿宋_GBK"/>
          <w:color w:val="000000"/>
          <w:sz w:val="32"/>
          <w:szCs w:val="32"/>
          <w:shd w:val="clear" w:color="auto" w:fill="FFFFFF"/>
        </w:rPr>
      </w:pPr>
      <w:r>
        <w:rPr>
          <w:rFonts w:hint="eastAsia" w:eastAsia="方正仿宋_GBK"/>
          <w:color w:val="000000"/>
          <w:sz w:val="32"/>
          <w:szCs w:val="32"/>
          <w:shd w:val="clear" w:color="auto" w:fill="FFFFFF"/>
          <w:lang w:eastAsia="zh-CN" w:bidi="ar"/>
        </w:rPr>
        <w:t>第四条</w:t>
      </w:r>
      <w:r>
        <w:rPr>
          <w:rFonts w:hint="eastAsia" w:eastAsia="方正仿宋_GBK"/>
          <w:color w:val="000000"/>
          <w:sz w:val="32"/>
          <w:szCs w:val="32"/>
          <w:shd w:val="clear" w:color="auto" w:fill="FFFFFF"/>
          <w:lang w:val="en-US" w:eastAsia="zh-CN" w:bidi="ar"/>
        </w:rPr>
        <w:t xml:space="preserve"> </w:t>
      </w:r>
      <w:r>
        <w:rPr>
          <w:rFonts w:eastAsia="方正仿宋_GBK"/>
          <w:color w:val="000000"/>
          <w:sz w:val="32"/>
          <w:szCs w:val="32"/>
          <w:shd w:val="clear" w:color="auto" w:fill="FFFFFF"/>
          <w:lang w:bidi="ar"/>
        </w:rPr>
        <w:t>申报主体为：</w:t>
      </w:r>
    </w:p>
    <w:p>
      <w:pPr>
        <w:numPr>
          <w:ilvl w:val="0"/>
          <w:numId w:val="3"/>
        </w:numPr>
        <w:autoSpaceDE w:val="0"/>
        <w:snapToGrid w:val="0"/>
        <w:spacing w:line="579" w:lineRule="exact"/>
        <w:ind w:firstLine="640" w:firstLineChars="200"/>
        <w:rPr>
          <w:rFonts w:eastAsia="方正仿宋_GBK"/>
          <w:color w:val="000000"/>
          <w:sz w:val="32"/>
          <w:szCs w:val="32"/>
          <w:shd w:val="clear" w:color="auto" w:fill="FFFFFF"/>
        </w:rPr>
      </w:pPr>
      <w:r>
        <w:rPr>
          <w:rFonts w:eastAsia="方正仿宋_GBK"/>
          <w:color w:val="000000"/>
          <w:sz w:val="32"/>
          <w:szCs w:val="32"/>
          <w:shd w:val="clear" w:color="auto" w:fill="FFFFFF"/>
          <w:lang w:bidi="ar"/>
        </w:rPr>
        <w:t>在我区注册登记且税收解缴关系在我区的制造业企业；</w:t>
      </w:r>
      <w:r>
        <w:rPr>
          <w:rFonts w:eastAsia="方正仿宋_GBK"/>
          <w:sz w:val="32"/>
          <w:szCs w:val="32"/>
        </w:rPr>
        <w:t>企业近</w:t>
      </w:r>
      <w:r>
        <w:rPr>
          <w:rFonts w:hint="eastAsia" w:eastAsia="方正仿宋_GBK"/>
          <w:sz w:val="32"/>
          <w:szCs w:val="32"/>
        </w:rPr>
        <w:t>三</w:t>
      </w:r>
      <w:r>
        <w:rPr>
          <w:rFonts w:eastAsia="方正仿宋_GBK"/>
          <w:sz w:val="32"/>
          <w:szCs w:val="32"/>
        </w:rPr>
        <w:t>年未被列入企业异常经营名录、安全生产黑名单、失信被执行人名单，未发生重、特大安全事故以及环境污染事故等“一票否决”事项</w:t>
      </w:r>
      <w:r>
        <w:rPr>
          <w:rFonts w:hint="eastAsia" w:eastAsia="方正仿宋_GBK"/>
          <w:sz w:val="32"/>
          <w:szCs w:val="32"/>
        </w:rPr>
        <w:t>。</w:t>
      </w:r>
    </w:p>
    <w:p>
      <w:pPr>
        <w:autoSpaceDE w:val="0"/>
        <w:snapToGrid w:val="0"/>
        <w:spacing w:line="579" w:lineRule="exact"/>
        <w:ind w:firstLine="640" w:firstLineChars="200"/>
        <w:rPr>
          <w:rFonts w:eastAsia="方正仿宋_GBK"/>
          <w:color w:val="000000"/>
          <w:sz w:val="32"/>
          <w:szCs w:val="32"/>
          <w:shd w:val="clear" w:color="auto" w:fill="FFFFFF"/>
          <w:lang w:bidi="ar"/>
        </w:rPr>
      </w:pPr>
      <w:r>
        <w:rPr>
          <w:rFonts w:hint="eastAsia" w:eastAsia="方正仿宋_GBK"/>
          <w:color w:val="000000"/>
          <w:sz w:val="32"/>
          <w:szCs w:val="32"/>
          <w:shd w:val="clear" w:color="auto" w:fill="FFFFFF"/>
          <w:lang w:bidi="ar"/>
        </w:rPr>
        <w:t>（二）在同一细分领域</w:t>
      </w:r>
      <w:r>
        <w:rPr>
          <w:rFonts w:eastAsia="方正仿宋_GBK"/>
          <w:color w:val="000000"/>
          <w:sz w:val="32"/>
          <w:szCs w:val="32"/>
          <w:shd w:val="clear" w:color="auto" w:fill="FFFFFF"/>
          <w:lang w:bidi="ar"/>
        </w:rPr>
        <w:t>未建立</w:t>
      </w:r>
      <w:r>
        <w:rPr>
          <w:rFonts w:hint="eastAsia" w:eastAsia="方正仿宋_GBK"/>
          <w:color w:val="000000"/>
          <w:sz w:val="32"/>
          <w:szCs w:val="32"/>
          <w:shd w:val="clear" w:color="auto" w:fill="FFFFFF"/>
          <w:lang w:bidi="ar"/>
        </w:rPr>
        <w:t>区</w:t>
      </w:r>
      <w:r>
        <w:rPr>
          <w:rFonts w:eastAsia="方正仿宋_GBK"/>
          <w:color w:val="000000"/>
          <w:sz w:val="32"/>
          <w:szCs w:val="32"/>
          <w:shd w:val="clear" w:color="auto" w:fill="FFFFFF"/>
          <w:lang w:bidi="ar"/>
        </w:rPr>
        <w:t>级及以上工程研究中心、企业技术中心、产学研联合实验室、工程技术研究中心</w:t>
      </w:r>
      <w:r>
        <w:rPr>
          <w:rFonts w:hint="eastAsia" w:eastAsia="方正仿宋_GBK"/>
          <w:color w:val="000000"/>
          <w:sz w:val="32"/>
          <w:szCs w:val="32"/>
          <w:shd w:val="clear" w:color="auto" w:fill="FFFFFF"/>
          <w:lang w:bidi="ar"/>
        </w:rPr>
        <w:t>、院士（专家）创新工作站、博士创新站、省级及以上创新平台分中心</w:t>
      </w:r>
      <w:r>
        <w:rPr>
          <w:rFonts w:eastAsia="方正仿宋_GBK"/>
          <w:color w:val="000000"/>
          <w:sz w:val="32"/>
          <w:szCs w:val="32"/>
          <w:shd w:val="clear" w:color="auto" w:fill="FFFFFF"/>
          <w:lang w:bidi="ar"/>
        </w:rPr>
        <w:t>等创新平台。</w:t>
      </w:r>
    </w:p>
    <w:p>
      <w:pPr>
        <w:pStyle w:val="2"/>
        <w:ind w:firstLine="640" w:firstLineChars="200"/>
        <w:rPr>
          <w:rFonts w:ascii="Times New Roman" w:hAnsi="Times New Roman" w:eastAsia="方正仿宋_GBK" w:cs="Times New Roman"/>
          <w:color w:val="000000"/>
          <w:sz w:val="32"/>
          <w:szCs w:val="32"/>
          <w:shd w:val="clear" w:color="auto" w:fill="FFFFFF"/>
          <w:lang w:bidi="ar"/>
        </w:rPr>
      </w:pPr>
      <w:r>
        <w:rPr>
          <w:rFonts w:hint="eastAsia" w:ascii="Times New Roman" w:hAnsi="Times New Roman" w:eastAsia="方正仿宋_GBK" w:cs="Times New Roman"/>
          <w:color w:val="000000"/>
          <w:sz w:val="32"/>
          <w:szCs w:val="32"/>
          <w:shd w:val="clear" w:color="auto" w:fill="FFFFFF"/>
          <w:lang w:bidi="ar"/>
        </w:rPr>
        <w:t>（三）同一申报主体同一年度仅限申报一个项目。</w:t>
      </w:r>
    </w:p>
    <w:p>
      <w:pPr>
        <w:autoSpaceDE w:val="0"/>
        <w:snapToGrid w:val="0"/>
        <w:spacing w:line="579" w:lineRule="exact"/>
        <w:ind w:firstLine="640" w:firstLineChars="200"/>
        <w:rPr>
          <w:rFonts w:eastAsia="方正仿宋_GBK"/>
          <w:color w:val="000000"/>
          <w:sz w:val="32"/>
          <w:szCs w:val="32"/>
          <w:shd w:val="clear" w:color="auto" w:fill="FFFFFF"/>
        </w:rPr>
      </w:pPr>
      <w:r>
        <w:rPr>
          <w:rFonts w:eastAsia="方正仿宋_GBK"/>
          <w:color w:val="000000"/>
          <w:sz w:val="32"/>
          <w:szCs w:val="32"/>
          <w:shd w:val="clear" w:color="auto" w:fill="FFFFFF"/>
          <w:lang w:bidi="ar"/>
        </w:rPr>
        <w:t>创新平台是建设和运行管理的具体责任主体，负责平台建设运行、安全环保和日常管理等，主要职责和任务是：根据社会发展和市场需要，针对行业、领域发展中的重大关键性、基础性和共性技术问题，持续不断地开展科技创新研发投入；促进技术工艺和技术装备不断升级，促进产品不断迭代优化，持续推出具有高增值效益的新产品，更好引领相关领域科技进步和产业转型发展。</w:t>
      </w:r>
    </w:p>
    <w:p>
      <w:pPr>
        <w:numPr>
          <w:ilvl w:val="0"/>
          <w:numId w:val="0"/>
        </w:numPr>
        <w:snapToGrid w:val="0"/>
        <w:spacing w:line="579" w:lineRule="exact"/>
        <w:ind w:firstLine="640" w:firstLineChars="200"/>
        <w:rPr>
          <w:rFonts w:eastAsia="方正仿宋_GBK"/>
          <w:color w:val="000000"/>
          <w:sz w:val="32"/>
          <w:szCs w:val="32"/>
          <w:shd w:val="clear" w:color="auto" w:fill="FFFFFF"/>
        </w:rPr>
      </w:pPr>
      <w:r>
        <w:rPr>
          <w:rFonts w:hint="eastAsia" w:eastAsia="方正仿宋_GBK"/>
          <w:color w:val="000000"/>
          <w:sz w:val="32"/>
          <w:szCs w:val="32"/>
          <w:shd w:val="clear" w:color="auto" w:fill="FFFFFF"/>
          <w:lang w:eastAsia="zh-CN" w:bidi="ar"/>
        </w:rPr>
        <w:t>第五条</w:t>
      </w:r>
      <w:r>
        <w:rPr>
          <w:rFonts w:hint="eastAsia" w:eastAsia="方正仿宋_GBK"/>
          <w:color w:val="000000"/>
          <w:sz w:val="32"/>
          <w:szCs w:val="32"/>
          <w:shd w:val="clear" w:color="auto" w:fill="FFFFFF"/>
          <w:lang w:val="en-US" w:eastAsia="zh-CN" w:bidi="ar"/>
        </w:rPr>
        <w:t xml:space="preserve"> </w:t>
      </w:r>
      <w:r>
        <w:rPr>
          <w:rFonts w:eastAsia="方正仿宋_GBK"/>
          <w:color w:val="000000"/>
          <w:sz w:val="32"/>
          <w:szCs w:val="32"/>
          <w:shd w:val="clear" w:color="auto" w:fill="FFFFFF"/>
          <w:lang w:bidi="ar"/>
        </w:rPr>
        <w:t>各平台支持经费由主管部门分别管理，纳入当年</w:t>
      </w:r>
      <w:r>
        <w:rPr>
          <w:rFonts w:hint="eastAsia" w:eastAsia="方正仿宋_GBK"/>
          <w:color w:val="000000"/>
          <w:sz w:val="32"/>
          <w:szCs w:val="32"/>
          <w:shd w:val="clear" w:color="auto" w:fill="FFFFFF"/>
          <w:lang w:bidi="ar"/>
        </w:rPr>
        <w:t>或下一年度</w:t>
      </w:r>
      <w:r>
        <w:rPr>
          <w:rFonts w:eastAsia="方正仿宋_GBK"/>
          <w:color w:val="000000"/>
          <w:sz w:val="32"/>
          <w:szCs w:val="32"/>
          <w:shd w:val="clear" w:color="auto" w:fill="FFFFFF"/>
          <w:lang w:bidi="ar"/>
        </w:rPr>
        <w:t>预算安排。</w:t>
      </w:r>
    </w:p>
    <w:p>
      <w:pPr>
        <w:numPr>
          <w:ilvl w:val="0"/>
          <w:numId w:val="1"/>
        </w:numPr>
        <w:spacing w:line="579" w:lineRule="exact"/>
        <w:ind w:left="0"/>
        <w:jc w:val="center"/>
        <w:rPr>
          <w:rFonts w:eastAsia="方正黑体_GBK"/>
          <w:color w:val="000000"/>
          <w:sz w:val="32"/>
          <w:szCs w:val="32"/>
        </w:rPr>
      </w:pPr>
      <w:r>
        <w:rPr>
          <w:rFonts w:eastAsia="方正黑体_GBK"/>
          <w:color w:val="000000"/>
          <w:sz w:val="32"/>
          <w:szCs w:val="32"/>
          <w:lang w:bidi="ar"/>
        </w:rPr>
        <w:t>区级创新平台认定条件</w:t>
      </w:r>
    </w:p>
    <w:p>
      <w:pPr>
        <w:numPr>
          <w:ilvl w:val="0"/>
          <w:numId w:val="0"/>
        </w:numPr>
        <w:snapToGrid w:val="0"/>
        <w:spacing w:line="579" w:lineRule="exact"/>
        <w:ind w:leftChars="200" w:firstLine="320" w:firstLineChars="100"/>
        <w:rPr>
          <w:rFonts w:eastAsia="方正仿宋_GBK"/>
          <w:color w:val="000000"/>
          <w:sz w:val="31"/>
          <w:szCs w:val="31"/>
          <w:shd w:val="clear" w:color="auto" w:fill="FFFFFF"/>
        </w:rPr>
      </w:pPr>
      <w:r>
        <w:rPr>
          <w:rFonts w:hint="eastAsia" w:eastAsia="方正仿宋_GBK"/>
          <w:color w:val="000000"/>
          <w:sz w:val="32"/>
          <w:szCs w:val="32"/>
          <w:shd w:val="clear" w:color="auto" w:fill="FFFFFF"/>
          <w:lang w:eastAsia="zh-CN" w:bidi="ar"/>
        </w:rPr>
        <w:t>第六条</w:t>
      </w:r>
      <w:r>
        <w:rPr>
          <w:rFonts w:hint="eastAsia" w:eastAsia="方正仿宋_GBK"/>
          <w:b/>
          <w:color w:val="000000"/>
          <w:sz w:val="32"/>
          <w:szCs w:val="32"/>
          <w:lang w:val="en-US" w:eastAsia="zh-CN" w:bidi="ar"/>
        </w:rPr>
        <w:t xml:space="preserve"> </w:t>
      </w:r>
      <w:r>
        <w:rPr>
          <w:rFonts w:eastAsia="方正仿宋_GBK"/>
          <w:b/>
          <w:color w:val="000000"/>
          <w:sz w:val="32"/>
          <w:szCs w:val="32"/>
          <w:lang w:bidi="ar"/>
        </w:rPr>
        <w:t>区级工程研究中心</w:t>
      </w:r>
      <w:r>
        <w:rPr>
          <w:rFonts w:eastAsia="方正仿宋_GBK"/>
          <w:color w:val="000000"/>
          <w:sz w:val="32"/>
          <w:szCs w:val="32"/>
          <w:lang w:bidi="ar"/>
        </w:rPr>
        <w:t>认定条件</w:t>
      </w:r>
    </w:p>
    <w:p>
      <w:pPr>
        <w:pStyle w:val="6"/>
        <w:widowControl/>
        <w:spacing w:before="0" w:line="578" w:lineRule="exact"/>
        <w:ind w:firstLine="640"/>
        <w:rPr>
          <w:rFonts w:ascii="Times New Roman" w:hAnsi="Times New Roman" w:eastAsia="方正仿宋_GBK"/>
          <w:b w:val="0"/>
          <w:color w:val="000000"/>
          <w:sz w:val="32"/>
          <w:szCs w:val="32"/>
          <w:shd w:val="clear" w:color="auto" w:fill="FFFFFF"/>
        </w:rPr>
      </w:pPr>
      <w:r>
        <w:rPr>
          <w:rFonts w:ascii="Times New Roman" w:hAnsi="Times New Roman" w:eastAsia="方正仿宋_GBK"/>
          <w:b w:val="0"/>
          <w:color w:val="000000"/>
          <w:sz w:val="32"/>
          <w:szCs w:val="32"/>
          <w:shd w:val="clear" w:color="auto" w:fill="FFFFFF"/>
        </w:rPr>
        <w:t>（一）申报单位</w:t>
      </w:r>
      <w:r>
        <w:rPr>
          <w:rFonts w:hint="eastAsia" w:ascii="Times New Roman" w:hAnsi="Times New Roman" w:eastAsia="方正仿宋_GBK"/>
          <w:b w:val="0"/>
          <w:color w:val="000000"/>
          <w:sz w:val="32"/>
          <w:szCs w:val="32"/>
          <w:shd w:val="clear" w:color="auto" w:fill="FFFFFF"/>
        </w:rPr>
        <w:t>为</w:t>
      </w:r>
      <w:r>
        <w:rPr>
          <w:rFonts w:ascii="Times New Roman" w:hAnsi="Times New Roman" w:eastAsia="方正仿宋_GBK"/>
          <w:b w:val="0"/>
          <w:color w:val="000000"/>
          <w:sz w:val="32"/>
          <w:szCs w:val="32"/>
          <w:shd w:val="clear" w:color="auto" w:fill="FFFFFF"/>
        </w:rPr>
        <w:t>综合实力在申报领域内处于区内领先地位</w:t>
      </w:r>
      <w:r>
        <w:rPr>
          <w:rFonts w:hint="eastAsia" w:ascii="Times New Roman" w:hAnsi="Times New Roman" w:eastAsia="方正仿宋_GBK"/>
          <w:b w:val="0"/>
          <w:color w:val="000000"/>
          <w:sz w:val="32"/>
          <w:szCs w:val="32"/>
          <w:shd w:val="clear" w:color="auto" w:fill="FFFFFF"/>
        </w:rPr>
        <w:t>的规模以上企业</w:t>
      </w:r>
      <w:r>
        <w:rPr>
          <w:rFonts w:ascii="Times New Roman" w:hAnsi="Times New Roman" w:eastAsia="方正仿宋_GBK"/>
          <w:b w:val="0"/>
          <w:color w:val="000000"/>
          <w:sz w:val="32"/>
          <w:szCs w:val="32"/>
          <w:shd w:val="clear" w:color="auto" w:fill="FFFFFF"/>
        </w:rPr>
        <w:t>，原则上承担过区级及以上科研任务。</w:t>
      </w:r>
    </w:p>
    <w:p>
      <w:pPr>
        <w:pStyle w:val="6"/>
        <w:widowControl/>
        <w:spacing w:before="0" w:line="578" w:lineRule="exact"/>
        <w:ind w:firstLine="640"/>
        <w:rPr>
          <w:rFonts w:ascii="Times New Roman" w:hAnsi="Times New Roman" w:eastAsia="方正仿宋_GBK"/>
          <w:b w:val="0"/>
          <w:color w:val="000000"/>
          <w:sz w:val="32"/>
          <w:szCs w:val="32"/>
          <w:shd w:val="clear" w:color="auto" w:fill="FFFFFF"/>
        </w:rPr>
      </w:pPr>
      <w:r>
        <w:rPr>
          <w:rFonts w:ascii="Times New Roman" w:hAnsi="Times New Roman" w:eastAsia="方正仿宋_GBK"/>
          <w:b w:val="0"/>
          <w:color w:val="000000"/>
          <w:sz w:val="32"/>
          <w:szCs w:val="32"/>
          <w:shd w:val="clear" w:color="auto" w:fill="FFFFFF"/>
        </w:rPr>
        <w:t>（二）申报单位应具有通过市场机制实现技术转移和扩散、促进科技成果产业化、形成良性循环的自我发展能力，建立完善的人才激励、知识产权管理和产学研用长效合作机制。</w:t>
      </w:r>
    </w:p>
    <w:p>
      <w:pPr>
        <w:pStyle w:val="6"/>
        <w:widowControl/>
        <w:spacing w:before="0" w:line="578" w:lineRule="exact"/>
        <w:ind w:firstLine="640"/>
        <w:rPr>
          <w:rFonts w:ascii="Times New Roman" w:hAnsi="Times New Roman" w:eastAsia="方正仿宋_GBK"/>
          <w:b w:val="0"/>
          <w:color w:val="000000"/>
          <w:sz w:val="32"/>
          <w:szCs w:val="32"/>
          <w:shd w:val="clear" w:color="auto" w:fill="FFFFFF"/>
        </w:rPr>
      </w:pPr>
      <w:r>
        <w:rPr>
          <w:rFonts w:ascii="Times New Roman" w:hAnsi="Times New Roman" w:eastAsia="方正仿宋_GBK"/>
          <w:b w:val="0"/>
          <w:color w:val="000000"/>
          <w:sz w:val="32"/>
          <w:szCs w:val="32"/>
          <w:shd w:val="clear" w:color="auto" w:fill="FFFFFF"/>
        </w:rPr>
        <w:t>（三）申报单位现有研发场所应不少于1200平方米，研发设备原值不低于800万元，专职研发人员不少于15人，拥有所属产业领域自主知识产权（包括主持或参与国家标准、行业标准、行业规范制定，拥有有效发明专利、软件著作权、集成电路布图设计专有权、动植物新品种、</w:t>
      </w:r>
      <w:bookmarkStart w:id="0" w:name="_GoBack"/>
      <w:r>
        <w:rPr>
          <w:rFonts w:ascii="Times New Roman" w:hAnsi="Times New Roman" w:eastAsia="方正仿宋_GBK"/>
          <w:b w:val="0"/>
          <w:color w:val="000000"/>
          <w:sz w:val="32"/>
          <w:szCs w:val="32"/>
          <w:shd w:val="clear" w:color="auto" w:fill="FFFFFF"/>
        </w:rPr>
        <w:t>国家</w:t>
      </w:r>
      <w:bookmarkEnd w:id="0"/>
      <w:r>
        <w:rPr>
          <w:rFonts w:ascii="Times New Roman" w:hAnsi="Times New Roman" w:eastAsia="方正仿宋_GBK"/>
          <w:b w:val="0"/>
          <w:color w:val="000000"/>
          <w:sz w:val="32"/>
          <w:szCs w:val="32"/>
          <w:shd w:val="clear" w:color="auto" w:fill="FFFFFF"/>
        </w:rPr>
        <w:t>新药证书等）不少于5项，与相关领域国家级创新平台建设（依托）单位签订有效产学研用合作协议不少于2个。</w:t>
      </w:r>
    </w:p>
    <w:p>
      <w:pPr>
        <w:pStyle w:val="6"/>
        <w:widowControl/>
        <w:spacing w:before="0" w:line="578" w:lineRule="exact"/>
        <w:ind w:firstLine="640"/>
        <w:rPr>
          <w:rFonts w:ascii="Times New Roman" w:hAnsi="Times New Roman" w:eastAsia="方正仿宋_GBK"/>
          <w:b w:val="0"/>
          <w:color w:val="000000"/>
          <w:sz w:val="32"/>
          <w:szCs w:val="32"/>
          <w:shd w:val="clear" w:color="auto" w:fill="FFFFFF"/>
        </w:rPr>
      </w:pPr>
      <w:r>
        <w:rPr>
          <w:rFonts w:ascii="Times New Roman" w:hAnsi="Times New Roman" w:eastAsia="方正仿宋_GBK"/>
          <w:b w:val="0"/>
          <w:color w:val="000000"/>
          <w:sz w:val="32"/>
          <w:szCs w:val="32"/>
          <w:shd w:val="clear" w:color="auto" w:fill="FFFFFF"/>
        </w:rPr>
        <w:t>（四）申报单位应具备良好诚信记录，近三年以来未受到税务、海关等部门行政处罚，未纳入失信惩戒名单。</w:t>
      </w:r>
    </w:p>
    <w:p>
      <w:pPr>
        <w:pStyle w:val="6"/>
        <w:widowControl/>
        <w:spacing w:before="0" w:line="578" w:lineRule="exact"/>
        <w:ind w:firstLine="640"/>
        <w:rPr>
          <w:rFonts w:ascii="Times New Roman" w:hAnsi="Times New Roman" w:eastAsia="方正仿宋_GBK"/>
          <w:b w:val="0"/>
          <w:color w:val="000000"/>
          <w:sz w:val="32"/>
          <w:szCs w:val="32"/>
          <w:shd w:val="clear" w:color="auto" w:fill="FFFFFF"/>
        </w:rPr>
      </w:pPr>
      <w:r>
        <w:rPr>
          <w:rFonts w:ascii="Times New Roman" w:hAnsi="Times New Roman" w:eastAsia="方正仿宋_GBK"/>
          <w:b w:val="0"/>
          <w:color w:val="000000"/>
          <w:sz w:val="32"/>
          <w:szCs w:val="32"/>
          <w:shd w:val="clear" w:color="auto" w:fill="FFFFFF"/>
        </w:rPr>
        <w:t>（五）统一命名为：</w:t>
      </w:r>
      <w:r>
        <w:rPr>
          <w:rFonts w:hint="eastAsia" w:ascii="Times New Roman" w:hAnsi="Times New Roman" w:eastAsia="方正仿宋_GBK"/>
          <w:b w:val="0"/>
          <w:color w:val="000000"/>
          <w:sz w:val="32"/>
          <w:szCs w:val="32"/>
          <w:shd w:val="clear" w:color="auto" w:fill="FFFFFF"/>
        </w:rPr>
        <w:t>成都经开区</w:t>
      </w:r>
      <w:r>
        <w:rPr>
          <w:rFonts w:ascii="Times New Roman" w:hAnsi="Times New Roman" w:eastAsia="方正仿宋_GBK"/>
          <w:b w:val="0"/>
          <w:color w:val="000000"/>
          <w:sz w:val="32"/>
          <w:szCs w:val="32"/>
          <w:shd w:val="clear" w:color="auto" w:fill="FFFFFF"/>
        </w:rPr>
        <w:t>XX工程研究中心。</w:t>
      </w:r>
    </w:p>
    <w:p>
      <w:pPr>
        <w:numPr>
          <w:ilvl w:val="0"/>
          <w:numId w:val="0"/>
        </w:numPr>
        <w:snapToGrid w:val="0"/>
        <w:spacing w:line="579" w:lineRule="exact"/>
        <w:ind w:firstLine="640" w:firstLineChars="200"/>
        <w:rPr>
          <w:rFonts w:eastAsia="方正仿宋_GBK"/>
          <w:color w:val="000000"/>
          <w:sz w:val="32"/>
          <w:szCs w:val="32"/>
          <w:shd w:val="clear" w:color="auto" w:fill="FFFFFF"/>
        </w:rPr>
      </w:pPr>
      <w:r>
        <w:rPr>
          <w:rFonts w:hint="eastAsia" w:eastAsia="方正仿宋_GBK"/>
          <w:color w:val="000000"/>
          <w:sz w:val="32"/>
          <w:szCs w:val="32"/>
          <w:shd w:val="clear" w:color="auto" w:fill="FFFFFF"/>
          <w:lang w:eastAsia="zh-CN" w:bidi="ar"/>
        </w:rPr>
        <w:t>第七条</w:t>
      </w:r>
      <w:r>
        <w:rPr>
          <w:rFonts w:hint="eastAsia" w:eastAsia="方正仿宋_GBK"/>
          <w:color w:val="000000"/>
          <w:sz w:val="32"/>
          <w:szCs w:val="32"/>
          <w:shd w:val="clear" w:color="auto" w:fill="FFFFFF"/>
          <w:lang w:val="en-US" w:eastAsia="zh-CN" w:bidi="ar"/>
        </w:rPr>
        <w:t xml:space="preserve"> </w:t>
      </w:r>
      <w:r>
        <w:rPr>
          <w:rFonts w:eastAsia="方正仿宋_GBK"/>
          <w:b/>
          <w:color w:val="000000"/>
          <w:sz w:val="32"/>
          <w:szCs w:val="32"/>
          <w:lang w:bidi="ar"/>
        </w:rPr>
        <w:t>区级企业技术中心</w:t>
      </w:r>
      <w:r>
        <w:rPr>
          <w:rFonts w:eastAsia="方正仿宋_GBK"/>
          <w:color w:val="000000"/>
          <w:sz w:val="32"/>
          <w:szCs w:val="32"/>
          <w:lang w:bidi="ar"/>
        </w:rPr>
        <w:t>认定条件</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申报单位为规模以上企业，已建立企业技术中心（或专门的研发机构）并正常运行1年以上。</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领导层重视技术创新工作，具有较强的技术创新意识和市场意识，能为技术中心建设和运行提供良好条件。</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具备较完善的研究、开发、试验条件，有较强的技术创新能力和稳定的研究开发投入。</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有技术水平高、实践经验丰富的技术带头人，拥有一定规模、结构合理的技术人才队伍。</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技术中心组织体系完善，运行机制健全，规划目标明确，具有稳定的产学研合作机制，技术创新绩效显著。</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shd w:val="clear" w:color="auto" w:fill="FFFFFF"/>
          <w:lang w:bidi="ar"/>
        </w:rPr>
        <w:t>上年度主营业务收入不低于4000万元、科技活动经费支出不低于250万元、研究与试验发展人员数不低于20人、研究与试验发展设备原值不低于200万元。</w:t>
      </w:r>
    </w:p>
    <w:p>
      <w:pPr>
        <w:keepNext w:val="0"/>
        <w:keepLines w:val="0"/>
        <w:pageBreakBefore w:val="0"/>
        <w:widowControl w:val="0"/>
        <w:numPr>
          <w:ilvl w:val="0"/>
          <w:numId w:val="4"/>
        </w:numPr>
        <w:kinsoku/>
        <w:wordWrap/>
        <w:overflowPunct/>
        <w:topLinePunct w:val="0"/>
        <w:autoSpaceDE w:val="0"/>
        <w:autoSpaceDN/>
        <w:bidi w:val="0"/>
        <w:adjustRightInd/>
        <w:snapToGrid w:val="0"/>
        <w:spacing w:line="579"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shd w:val="clear" w:color="auto" w:fill="FFFFFF"/>
          <w:lang w:bidi="ar"/>
        </w:rPr>
        <w:t>统一命名为：成都经开区XX企业技术中心。</w:t>
      </w:r>
    </w:p>
    <w:p>
      <w:pPr>
        <w:numPr>
          <w:ilvl w:val="0"/>
          <w:numId w:val="0"/>
        </w:numPr>
        <w:snapToGrid w:val="0"/>
        <w:spacing w:line="579" w:lineRule="exact"/>
        <w:ind w:leftChars="200" w:firstLine="320" w:firstLineChars="100"/>
        <w:rPr>
          <w:szCs w:val="21"/>
        </w:rPr>
      </w:pPr>
      <w:r>
        <w:rPr>
          <w:rFonts w:hint="eastAsia" w:eastAsia="方正仿宋_GBK"/>
          <w:color w:val="000000"/>
          <w:sz w:val="32"/>
          <w:szCs w:val="32"/>
          <w:shd w:val="clear" w:color="auto" w:fill="FFFFFF"/>
          <w:lang w:eastAsia="zh-CN" w:bidi="ar"/>
        </w:rPr>
        <w:t>第八条</w:t>
      </w:r>
      <w:r>
        <w:rPr>
          <w:rFonts w:hint="eastAsia" w:eastAsia="方正仿宋_GBK"/>
          <w:b/>
          <w:color w:val="000000"/>
          <w:sz w:val="32"/>
          <w:szCs w:val="32"/>
          <w:shd w:val="clear" w:color="auto" w:fill="FFFFFF"/>
          <w:lang w:val="en-US" w:eastAsia="zh-CN" w:bidi="ar"/>
        </w:rPr>
        <w:t xml:space="preserve"> </w:t>
      </w:r>
      <w:r>
        <w:rPr>
          <w:rFonts w:eastAsia="方正仿宋_GBK"/>
          <w:b/>
          <w:color w:val="000000"/>
          <w:sz w:val="32"/>
          <w:szCs w:val="32"/>
          <w:shd w:val="clear" w:color="auto" w:fill="FFFFFF"/>
          <w:lang w:bidi="ar"/>
        </w:rPr>
        <w:t>区级产学研联合实验室</w:t>
      </w:r>
      <w:r>
        <w:rPr>
          <w:rFonts w:eastAsia="方正仿宋_GBK"/>
          <w:color w:val="000000"/>
          <w:sz w:val="32"/>
          <w:szCs w:val="32"/>
          <w:shd w:val="clear" w:color="auto" w:fill="FFFFFF"/>
          <w:lang w:bidi="ar"/>
        </w:rPr>
        <w:t>认定条件</w:t>
      </w:r>
    </w:p>
    <w:p>
      <w:pPr>
        <w:keepNext w:val="0"/>
        <w:keepLines w:val="0"/>
        <w:pageBreakBefore w:val="0"/>
        <w:kinsoku/>
        <w:overflowPunct/>
        <w:topLinePunct w:val="0"/>
        <w:autoSpaceDE/>
        <w:autoSpaceDN/>
        <w:bidi w:val="0"/>
        <w:adjustRightInd/>
        <w:snapToGrid w:val="0"/>
        <w:spacing w:line="579" w:lineRule="exact"/>
        <w:ind w:firstLine="640" w:firstLineChars="200"/>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（一）申报主体为具有较好成长性的入库全国科技型中小企业。</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（二）具备固定的实验场所和仪器装备等基础设施条件，具</w:t>
      </w:r>
      <w:r>
        <w:rPr>
          <w:rFonts w:hint="default" w:ascii="Times New Roman" w:hAnsi="Times New Roman" w:eastAsia="方正仿宋_GBK" w:cs="Times New Roman"/>
          <w:kern w:val="0"/>
          <w:sz w:val="32"/>
          <w:szCs w:val="32"/>
          <w:shd w:val="clear" w:color="auto" w:fill="FFFFFF"/>
          <w:lang w:bidi="ar"/>
        </w:rPr>
        <w:t>有10人以上的科技</w:t>
      </w:r>
      <w:r>
        <w:rPr>
          <w:rFonts w:hint="default" w:ascii="Times New Roman" w:hAnsi="Times New Roman" w:eastAsia="方正仿宋_GBK" w:cs="Times New Roman"/>
          <w:color w:val="000000"/>
          <w:kern w:val="0"/>
          <w:sz w:val="32"/>
          <w:szCs w:val="32"/>
          <w:shd w:val="clear" w:color="auto" w:fill="FFFFFF"/>
          <w:lang w:bidi="ar"/>
        </w:rPr>
        <w:t>人员队伍；</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三）依托单位与合作高校（含二级学院）、科研院所签署产学研合作协议，明确有技术攻关、成果转化、人才培养、知识产权归属、资金投入方式等实质合作内容，合作期限在2年（含）以上，且申报时间在合作有效期内。</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（四）依托单位具有一定的科技投入能力，近三年累计研发投入不低于200万元。</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（五）统一命名为：XX（企业简称）—XX（高校院所简称）区级产学研联合实验室。</w:t>
      </w:r>
    </w:p>
    <w:p>
      <w:pPr>
        <w:numPr>
          <w:ilvl w:val="0"/>
          <w:numId w:val="0"/>
        </w:numPr>
        <w:snapToGrid w:val="0"/>
        <w:spacing w:line="579" w:lineRule="exact"/>
        <w:ind w:leftChars="200"/>
        <w:rPr>
          <w:rFonts w:eastAsia="方正仿宋_GBK"/>
          <w:color w:val="000000"/>
          <w:sz w:val="32"/>
          <w:szCs w:val="32"/>
          <w:shd w:val="clear" w:color="auto" w:fill="FFFFFF"/>
        </w:rPr>
      </w:pPr>
      <w:r>
        <w:rPr>
          <w:rFonts w:hint="eastAsia" w:eastAsia="方正仿宋_GBK" w:asciiTheme="minorHAnsi" w:hAnsiTheme="minorHAnsi" w:cstheme="minorBidi"/>
          <w:color w:val="000000"/>
          <w:kern w:val="0"/>
          <w:sz w:val="32"/>
          <w:szCs w:val="32"/>
          <w:shd w:val="clear" w:color="auto" w:fill="FFFFFF"/>
          <w:lang w:val="en-US" w:eastAsia="zh-CN" w:bidi="ar"/>
        </w:rPr>
        <w:t>第九条</w:t>
      </w:r>
      <w:r>
        <w:rPr>
          <w:rFonts w:hint="eastAsia" w:eastAsia="方正仿宋_GBK" w:cstheme="minorBidi"/>
          <w:color w:val="000000"/>
          <w:kern w:val="0"/>
          <w:sz w:val="32"/>
          <w:szCs w:val="32"/>
          <w:shd w:val="clear" w:color="auto" w:fill="FFFFFF"/>
          <w:lang w:val="en-US" w:eastAsia="zh-CN" w:bidi="ar"/>
        </w:rPr>
        <w:t xml:space="preserve"> </w:t>
      </w:r>
      <w:r>
        <w:rPr>
          <w:rFonts w:eastAsia="方正仿宋_GBK"/>
          <w:b/>
          <w:color w:val="000000"/>
          <w:sz w:val="32"/>
          <w:szCs w:val="32"/>
          <w:shd w:val="clear" w:color="auto" w:fill="FFFFFF"/>
          <w:lang w:bidi="ar"/>
        </w:rPr>
        <w:t>区级工程技术研究中心</w:t>
      </w:r>
      <w:r>
        <w:rPr>
          <w:rFonts w:eastAsia="方正仿宋_GBK"/>
          <w:color w:val="000000"/>
          <w:sz w:val="32"/>
          <w:szCs w:val="32"/>
          <w:shd w:val="clear" w:color="auto" w:fill="FFFFFF"/>
          <w:lang w:bidi="ar"/>
        </w:rPr>
        <w:t>认定条件</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（一）申报主体为我区行业中综合实力较强、有较强技术研发水平的规模以上高新技术企业；</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（二）该中心为企业内部独立的研发部门（机构）或与外单位合建，有健全的管理章程和组织结构，有专门从事技术研发和科研管理的人员；</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（三）具备工艺试验条件和基础设施，有必要的检测、分析、测试手段和工艺设备，具备承担综合性工艺试验任务的能力；</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（四）研发场地不少于150平方米，近3年研发投入不低于500万元，专职研发人员不少于10人；</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rPr>
      </w:pPr>
      <w:r>
        <w:rPr>
          <w:rFonts w:hint="default" w:ascii="Times New Roman" w:hAnsi="Times New Roman" w:eastAsia="方正仿宋_GBK" w:cs="Times New Roman"/>
          <w:color w:val="000000"/>
          <w:kern w:val="0"/>
          <w:sz w:val="32"/>
          <w:szCs w:val="32"/>
          <w:shd w:val="clear" w:color="auto" w:fill="FFFFFF"/>
          <w:lang w:bidi="ar"/>
        </w:rPr>
        <w:t>（五）近三年承担过区级及以上科技项目1项（含）以上；拥有所在行业领域3项（含）以上自主知识产权（包括发明专利、动植物新品种、国家级农作物品种、新兽药、国家新药等）；标准化建设水平处于同行业领先。</w:t>
      </w:r>
    </w:p>
    <w:p>
      <w:pPr>
        <w:pStyle w:val="9"/>
        <w:keepNext w:val="0"/>
        <w:keepLines w:val="0"/>
        <w:pageBreakBefore w:val="0"/>
        <w:widowControl/>
        <w:shd w:val="clear" w:color="auto" w:fill="FFFFFF"/>
        <w:kinsoku/>
        <w:wordWrap w:val="0"/>
        <w:overflowPunct/>
        <w:topLinePunct w:val="0"/>
        <w:autoSpaceDE/>
        <w:autoSpaceDN/>
        <w:bidi w:val="0"/>
        <w:adjustRightInd/>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kern w:val="0"/>
          <w:sz w:val="32"/>
          <w:szCs w:val="32"/>
          <w:shd w:val="clear" w:color="auto" w:fill="FFFFFF"/>
          <w:lang w:bidi="ar"/>
        </w:rPr>
      </w:pPr>
      <w:r>
        <w:rPr>
          <w:rFonts w:hint="default" w:ascii="Times New Roman" w:hAnsi="Times New Roman" w:eastAsia="方正仿宋_GBK" w:cs="Times New Roman"/>
          <w:color w:val="000000"/>
          <w:kern w:val="0"/>
          <w:sz w:val="32"/>
          <w:szCs w:val="32"/>
          <w:shd w:val="clear" w:color="auto" w:fill="FFFFFF"/>
          <w:lang w:bidi="ar"/>
        </w:rPr>
        <w:t>（六）统一命名为：成都经开区XXX工程技术研究中心。</w:t>
      </w:r>
    </w:p>
    <w:p>
      <w:pPr>
        <w:numPr>
          <w:ilvl w:val="0"/>
          <w:numId w:val="0"/>
        </w:numPr>
        <w:snapToGrid w:val="0"/>
        <w:spacing w:line="579" w:lineRule="exact"/>
        <w:ind w:firstLine="640" w:firstLineChars="200"/>
        <w:rPr>
          <w:rFonts w:eastAsia="方正仿宋_GBK"/>
          <w:color w:val="000000"/>
          <w:sz w:val="32"/>
          <w:szCs w:val="32"/>
          <w:shd w:val="clear" w:color="auto" w:fill="FFFFFF"/>
          <w:lang w:bidi="ar"/>
        </w:rPr>
      </w:pPr>
      <w:r>
        <w:rPr>
          <w:rFonts w:hint="eastAsia" w:eastAsia="方正仿宋_GBK" w:asciiTheme="minorHAnsi" w:hAnsiTheme="minorHAnsi" w:cstheme="minorBidi"/>
          <w:color w:val="000000"/>
          <w:kern w:val="0"/>
          <w:sz w:val="32"/>
          <w:szCs w:val="32"/>
          <w:shd w:val="clear" w:color="auto" w:fill="FFFFFF"/>
          <w:lang w:val="en-US" w:eastAsia="zh-CN" w:bidi="ar"/>
        </w:rPr>
        <w:t>第十条</w:t>
      </w:r>
      <w:r>
        <w:rPr>
          <w:rFonts w:hint="eastAsia" w:eastAsia="方正仿宋_GBK" w:cstheme="minorBidi"/>
          <w:color w:val="000000"/>
          <w:kern w:val="0"/>
          <w:sz w:val="32"/>
          <w:szCs w:val="32"/>
          <w:shd w:val="clear" w:color="auto" w:fill="FFFFFF"/>
          <w:lang w:val="en-US" w:eastAsia="zh-CN" w:bidi="ar"/>
        </w:rPr>
        <w:t xml:space="preserve"> </w:t>
      </w:r>
      <w:r>
        <w:rPr>
          <w:rFonts w:eastAsia="方正仿宋_GBK"/>
          <w:b/>
          <w:color w:val="000000"/>
          <w:sz w:val="32"/>
          <w:szCs w:val="32"/>
          <w:shd w:val="clear" w:color="auto" w:fill="FFFFFF"/>
          <w:lang w:bidi="ar"/>
        </w:rPr>
        <w:t>区级博士创新站</w:t>
      </w:r>
      <w:r>
        <w:rPr>
          <w:rFonts w:eastAsia="方正仿宋_GBK"/>
          <w:color w:val="000000"/>
          <w:sz w:val="32"/>
          <w:szCs w:val="32"/>
          <w:shd w:val="clear" w:color="auto" w:fill="FFFFFF"/>
          <w:lang w:bidi="ar"/>
        </w:rPr>
        <w:t>认定条件</w:t>
      </w:r>
    </w:p>
    <w:p>
      <w:pPr>
        <w:snapToGrid w:val="0"/>
        <w:spacing w:line="579" w:lineRule="exact"/>
        <w:ind w:firstLine="640" w:firstLineChars="200"/>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（一）建站单位需满足以下条件之一：入库全国科技型中小企业、有效高新技术企业或规模以上企业；</w:t>
      </w:r>
    </w:p>
    <w:p>
      <w:pPr>
        <w:pStyle w:val="2"/>
        <w:spacing w:line="579" w:lineRule="exact"/>
        <w:ind w:firstLine="640" w:firstLineChars="200"/>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（二）建站单位经营状况良好，能为合作提供固定的工作科研场所和稳定的经费保障；</w:t>
      </w:r>
    </w:p>
    <w:p>
      <w:pPr>
        <w:spacing w:line="579" w:lineRule="exact"/>
        <w:ind w:firstLine="640" w:firstLineChars="200"/>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（三）建站单位与至少1名高校院所的博士签订合作协议，有明确的合作项目（课题）和建站方案，合作项目已投入经费不少于50万元，合作期限在2年（含）以上，且申报时间在合作有效期内。</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（四）建站的博士应具有教育部认可的博士学位，开展建站合作时年龄一般不超过45周岁（40周岁以下青年博士优先），且在四川省内未建立博士创新站，博士团队成员不少于3人（成员不要求博士）；</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eastAsia="方正仿宋_GBK"/>
          <w:color w:val="000000"/>
          <w:sz w:val="31"/>
          <w:szCs w:val="31"/>
          <w:shd w:val="clear" w:color="auto" w:fill="FFFFFF"/>
        </w:rPr>
      </w:pPr>
      <w:r>
        <w:rPr>
          <w:rFonts w:hint="default" w:ascii="Times New Roman" w:hAnsi="Times New Roman" w:eastAsia="方正仿宋_GBK" w:cs="Times New Roman"/>
          <w:color w:val="000000"/>
          <w:sz w:val="32"/>
          <w:szCs w:val="32"/>
          <w:shd w:val="clear" w:color="auto" w:fill="FFFFFF"/>
        </w:rPr>
        <w:t>（五）统一命名为：成都经开区XXX博士创新站。</w:t>
      </w:r>
    </w:p>
    <w:p>
      <w:pPr>
        <w:pStyle w:val="9"/>
        <w:widowControl/>
        <w:shd w:val="clear" w:color="auto" w:fill="FFFFFF"/>
        <w:wordWrap w:val="0"/>
        <w:snapToGrid w:val="0"/>
        <w:spacing w:before="0" w:beforeAutospacing="0" w:after="0" w:afterAutospacing="0" w:line="579" w:lineRule="exact"/>
        <w:ind w:firstLine="620" w:firstLineChars="200"/>
        <w:textAlignment w:val="baseline"/>
        <w:rPr>
          <w:rFonts w:eastAsia="方正仿宋_GBK"/>
          <w:color w:val="000000"/>
          <w:sz w:val="31"/>
          <w:szCs w:val="31"/>
          <w:shd w:val="clear" w:color="auto" w:fill="FFFFFF"/>
        </w:rPr>
      </w:pPr>
      <w:r>
        <w:rPr>
          <w:rFonts w:hint="eastAsia" w:eastAsia="方正仿宋_GBK"/>
          <w:color w:val="000000"/>
          <w:sz w:val="31"/>
          <w:szCs w:val="31"/>
          <w:shd w:val="clear" w:color="auto" w:fill="FFFFFF"/>
        </w:rPr>
        <w:t xml:space="preserve">第十一条 </w:t>
      </w:r>
      <w:r>
        <w:rPr>
          <w:rFonts w:hint="eastAsia" w:eastAsia="方正仿宋_GBK"/>
          <w:b/>
          <w:color w:val="000000"/>
          <w:sz w:val="31"/>
          <w:szCs w:val="31"/>
          <w:shd w:val="clear" w:color="auto" w:fill="FFFFFF"/>
        </w:rPr>
        <w:t>省级及以上创新平台分中心</w:t>
      </w:r>
      <w:r>
        <w:rPr>
          <w:rFonts w:hint="eastAsia" w:eastAsia="方正仿宋_GBK"/>
          <w:color w:val="000000"/>
          <w:sz w:val="31"/>
          <w:szCs w:val="31"/>
          <w:shd w:val="clear" w:color="auto" w:fill="FFFFFF"/>
        </w:rPr>
        <w:t>认定条件</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（一）申报主体需满足以下条件之一：入库全国科技型中小企业、有效高新技术企业或规模以上企业；</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（二）企业具备与分中心建设相匹配的研发场地和研发设备，拥有专职研发人员不少于 20 人，其中具有硕士及以上学历或中级及以上职称的人员占比不低于 30%。</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三）合作方须为区外国家级或省级创新平台（含重点实验室、企业技术中心、工程技术研究中心等），且与区内企业签订正式合作协议，明确技术研发、成果转化、人才培养等实质合作内容，合作期限在2年（含）以上，申报时间在合作有效期内。</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（四）企业近三年与合作方共同承担过省级及以上科技项目，或拥有与分中心研究领域相关的自主知识产权（发明专利、软件著作权等）不少于5项。</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（五）分中心须建立完善的产学研用合作机制和知识产权管理体系，具备将合作方技术成果在我区转化应用的能力，且已形成明确的技术研发规划和产业化目标。</w:t>
      </w:r>
    </w:p>
    <w:p>
      <w:pPr>
        <w:pStyle w:val="9"/>
        <w:widowControl/>
        <w:shd w:val="clear" w:color="auto" w:fill="FFFFFF"/>
        <w:wordWrap w:val="0"/>
        <w:snapToGrid w:val="0"/>
        <w:spacing w:before="0" w:beforeAutospacing="0" w:after="0" w:afterAutospacing="0" w:line="579" w:lineRule="exact"/>
        <w:ind w:firstLine="640" w:firstLineChars="200"/>
        <w:textAlignment w:val="baseline"/>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rPr>
        <w:t>（六）统一命名为：XX（区外创新平台名称）龙泉驿分中心。</w:t>
      </w:r>
    </w:p>
    <w:p>
      <w:pPr>
        <w:numPr>
          <w:ilvl w:val="0"/>
          <w:numId w:val="1"/>
        </w:numPr>
        <w:spacing w:line="579" w:lineRule="exact"/>
        <w:ind w:left="0"/>
        <w:jc w:val="center"/>
        <w:rPr>
          <w:rFonts w:eastAsia="方正黑体_GBK"/>
          <w:color w:val="000000"/>
          <w:sz w:val="32"/>
          <w:szCs w:val="32"/>
        </w:rPr>
      </w:pPr>
      <w:r>
        <w:rPr>
          <w:rFonts w:eastAsia="方正黑体_GBK"/>
          <w:color w:val="000000"/>
          <w:sz w:val="32"/>
          <w:szCs w:val="32"/>
          <w:lang w:bidi="ar"/>
        </w:rPr>
        <w:t>平台申报、立项与管理</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第十二条 区发改局、区经信局、区新经济和科技局结合我区创新平台建设需求编制项目申报指南对外发布申报通知，明确具体申报要求、申报材料等内容。</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第十三条 区发改局、区经信局、区新经济和科技局受理项目材料后，委托第三方评估机构对项目进行评审或组织开展申报材料审核，并根据需要进行现场考察。</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shd w:val="clear" w:color="auto" w:fill="FFFFFF"/>
        </w:rPr>
      </w:pPr>
      <w:r>
        <w:rPr>
          <w:rFonts w:hint="default" w:ascii="Times New Roman" w:hAnsi="Times New Roman" w:eastAsia="方正仿宋_GBK" w:cs="Times New Roman"/>
          <w:color w:val="000000"/>
          <w:sz w:val="32"/>
          <w:szCs w:val="32"/>
          <w:shd w:val="clear" w:color="auto" w:fill="FFFFFF"/>
          <w:lang w:bidi="ar"/>
        </w:rPr>
        <w:t>第十四条 区发改局、区经信局、区新经济和科技局研究确定拟立项项目名单并进行社会公示，对公示期满无异议的予以正式立项，公示期一般不少于5个工作日。</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lang w:bidi="ar"/>
        </w:rPr>
        <w:t>第十五条 创新平台实行定期评估和动态管理，每两年评估一次，评估结果分为“优秀、合格、不合格”三个等级。评估结果为优秀的，其依托单位申报区级科技计划项目同等优先支持；评估结果为不合格类的，取消区级创新平台资格；无故不参加评估的，按照不合格处理。</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eastAsia="方正仿宋_GBK"/>
          <w:color w:val="000000"/>
          <w:sz w:val="32"/>
          <w:szCs w:val="32"/>
        </w:rPr>
      </w:pPr>
      <w:r>
        <w:rPr>
          <w:rFonts w:hint="default" w:ascii="Times New Roman" w:hAnsi="Times New Roman" w:eastAsia="方正仿宋_GBK" w:cs="Times New Roman"/>
          <w:color w:val="000000"/>
          <w:sz w:val="32"/>
          <w:szCs w:val="32"/>
          <w:lang w:bidi="ar"/>
        </w:rPr>
        <w:t>第十六条 对弄虚作假、虚报冒领资助经费的单位，一经查实，撤销立项，追回已拨付项目经费，纳入诚信管理，终身不得承担龙泉驿区各类科技项目。无故拒报、瞒报相关信息的，三年内不得承担龙泉驿区各类科技项目，同时以上情形其依托单位（含法定代表人）纳入科研诚信记录。涉嫌违法的依法移送司法机关处理。</w:t>
      </w:r>
    </w:p>
    <w:p>
      <w:pPr>
        <w:numPr>
          <w:ilvl w:val="0"/>
          <w:numId w:val="1"/>
        </w:numPr>
        <w:spacing w:line="579" w:lineRule="exact"/>
        <w:ind w:left="0"/>
        <w:jc w:val="center"/>
        <w:rPr>
          <w:rFonts w:eastAsia="方正黑体_GBK"/>
          <w:color w:val="000000"/>
          <w:sz w:val="32"/>
          <w:szCs w:val="32"/>
        </w:rPr>
      </w:pPr>
      <w:r>
        <w:rPr>
          <w:rFonts w:eastAsia="方正黑体_GBK"/>
          <w:color w:val="000000"/>
          <w:sz w:val="32"/>
          <w:szCs w:val="32"/>
          <w:lang w:bidi="ar"/>
        </w:rPr>
        <w:t>政策支持</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eastAsia="方正仿宋_GBK"/>
          <w:color w:val="000000"/>
          <w:sz w:val="31"/>
          <w:szCs w:val="31"/>
          <w:shd w:val="clear" w:color="auto" w:fill="FFFFFF"/>
        </w:rPr>
      </w:pPr>
      <w:r>
        <w:rPr>
          <w:rFonts w:hint="default" w:ascii="Times New Roman" w:hAnsi="Times New Roman" w:eastAsia="方正仿宋_GBK" w:cs="Times New Roman"/>
          <w:color w:val="000000"/>
          <w:sz w:val="32"/>
          <w:szCs w:val="32"/>
          <w:shd w:val="clear" w:color="auto" w:fill="FFFFFF"/>
          <w:lang w:bidi="ar"/>
        </w:rPr>
        <w:t>第十七条 采取后补助支持方式，对符合条件的区级创新平台，给予10万元资金支持。区域内同类政策就高不重复，资金需用于创新平台人员、场地、研发等相关科技创新投入。</w:t>
      </w:r>
    </w:p>
    <w:p>
      <w:pPr>
        <w:keepNext w:val="0"/>
        <w:keepLines w:val="0"/>
        <w:pageBreakBefore w:val="0"/>
        <w:widowControl w:val="0"/>
        <w:numPr>
          <w:ilvl w:val="0"/>
          <w:numId w:val="1"/>
        </w:numPr>
        <w:kinsoku/>
        <w:wordWrap/>
        <w:overflowPunct/>
        <w:topLinePunct w:val="0"/>
        <w:autoSpaceDE/>
        <w:autoSpaceDN/>
        <w:bidi w:val="0"/>
        <w:adjustRightInd/>
        <w:spacing w:line="579" w:lineRule="exact"/>
        <w:ind w:left="0"/>
        <w:jc w:val="center"/>
        <w:textAlignment w:val="auto"/>
        <w:rPr>
          <w:rFonts w:eastAsia="方正黑体_GBK"/>
          <w:color w:val="000000"/>
          <w:sz w:val="32"/>
          <w:szCs w:val="32"/>
        </w:rPr>
      </w:pPr>
      <w:r>
        <w:rPr>
          <w:rFonts w:eastAsia="方正黑体_GBK"/>
          <w:color w:val="000000"/>
          <w:sz w:val="32"/>
          <w:szCs w:val="32"/>
          <w:lang w:bidi="ar"/>
        </w:rPr>
        <w:t>附则</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lang w:bidi="ar"/>
        </w:rPr>
        <w:t>第十八条 本办法由区发改局、区经信局、区新经济和科技局负责解释。</w:t>
      </w:r>
    </w:p>
    <w:p>
      <w:pPr>
        <w:keepNext w:val="0"/>
        <w:keepLines w:val="0"/>
        <w:pageBreakBefore w:val="0"/>
        <w:widowControl w:val="0"/>
        <w:kinsoku/>
        <w:wordWrap/>
        <w:overflowPunct/>
        <w:topLinePunct w:val="0"/>
        <w:autoSpaceDE/>
        <w:autoSpaceDN/>
        <w:bidi w:val="0"/>
        <w:adjustRightInd/>
        <w:snapToGrid w:val="0"/>
        <w:spacing w:line="579"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lang w:bidi="ar"/>
        </w:rPr>
        <w:t>第十九条 本办法自印发之日起试行实施，《成都市龙泉驿区院士（专家）创新工作站管理办法》（龙科协发〔2022〕3号）、《成都经开区（龙泉驿区）博士创新站建设工作方案》（成经开新科发〔2023〕14号）、《成都经开区（龙泉驿区）制造业创新平台认定管理办法》（成经开新科发〔2022〕</w:t>
      </w:r>
      <w:r>
        <w:rPr>
          <w:rFonts w:hint="eastAsia" w:ascii="Times New Roman" w:hAnsi="Times New Roman" w:eastAsia="方正仿宋_GBK" w:cs="Times New Roman"/>
          <w:color w:val="000000"/>
          <w:sz w:val="32"/>
          <w:szCs w:val="32"/>
          <w:lang w:val="en-US" w:eastAsia="zh-CN" w:bidi="ar"/>
        </w:rPr>
        <w:t>6</w:t>
      </w:r>
      <w:r>
        <w:rPr>
          <w:rFonts w:hint="default" w:ascii="Times New Roman" w:hAnsi="Times New Roman" w:eastAsia="方正仿宋_GBK" w:cs="Times New Roman"/>
          <w:color w:val="000000"/>
          <w:sz w:val="32"/>
          <w:szCs w:val="32"/>
          <w:lang w:bidi="ar"/>
        </w:rPr>
        <w:t>号）同时废止。</w:t>
      </w:r>
    </w:p>
    <w:p>
      <w:pPr>
        <w:snapToGrid w:val="0"/>
        <w:spacing w:line="579" w:lineRule="exact"/>
        <w:rPr>
          <w:rFonts w:hint="default" w:ascii="Times New Roman" w:hAnsi="Times New Roman" w:eastAsia="方正仿宋_GBK" w:cs="Times New Roman"/>
          <w:color w:val="000000"/>
          <w:sz w:val="32"/>
          <w:szCs w:val="32"/>
          <w:lang w:bidi="ar"/>
        </w:rPr>
      </w:pPr>
    </w:p>
    <w:p>
      <w:pPr>
        <w:snapToGrid w:val="0"/>
        <w:spacing w:line="579" w:lineRule="exact"/>
        <w:ind w:firstLine="640" w:firstLineChars="200"/>
        <w:rPr>
          <w:rFonts w:eastAsia="方正仿宋_GBK"/>
          <w:color w:val="000000"/>
          <w:sz w:val="32"/>
          <w:szCs w:val="32"/>
          <w:lang w:bidi="ar"/>
        </w:rPr>
      </w:pPr>
      <w:r>
        <w:rPr>
          <w:rFonts w:hint="default" w:ascii="Times New Roman" w:hAnsi="Times New Roman" w:eastAsia="方正仿宋_GBK" w:cs="Times New Roman"/>
          <w:color w:val="000000"/>
          <w:sz w:val="32"/>
          <w:szCs w:val="32"/>
          <w:lang w:bidi="ar"/>
        </w:rPr>
        <w:t>附件：名词解释</w:t>
      </w:r>
    </w:p>
    <w:p>
      <w:pPr>
        <w:rPr>
          <w:rFonts w:eastAsia="方正黑体_GBK"/>
          <w:color w:val="000000"/>
          <w:sz w:val="32"/>
          <w:szCs w:val="32"/>
          <w:lang w:bidi="ar"/>
        </w:rPr>
      </w:pPr>
      <w:r>
        <w:rPr>
          <w:rFonts w:eastAsia="方正仿宋_GBK"/>
          <w:color w:val="000000"/>
          <w:sz w:val="32"/>
          <w:szCs w:val="32"/>
          <w:lang w:bidi="ar"/>
        </w:rPr>
        <w:br w:type="page"/>
      </w:r>
      <w:r>
        <w:rPr>
          <w:rFonts w:eastAsia="方正黑体_GBK"/>
          <w:color w:val="000000"/>
          <w:sz w:val="32"/>
          <w:szCs w:val="32"/>
          <w:lang w:bidi="ar"/>
        </w:rPr>
        <w:t>附件</w:t>
      </w:r>
    </w:p>
    <w:p>
      <w:pPr>
        <w:snapToGrid w:val="0"/>
        <w:spacing w:line="579" w:lineRule="exact"/>
        <w:jc w:val="center"/>
        <w:rPr>
          <w:rFonts w:eastAsia="方正小标宋_GBK"/>
          <w:color w:val="000000"/>
          <w:sz w:val="44"/>
          <w:szCs w:val="44"/>
          <w:lang w:bidi="ar"/>
        </w:rPr>
      </w:pPr>
    </w:p>
    <w:p>
      <w:pPr>
        <w:snapToGrid w:val="0"/>
        <w:spacing w:line="579" w:lineRule="exact"/>
        <w:jc w:val="center"/>
        <w:rPr>
          <w:rFonts w:eastAsia="方正小标宋_GBK"/>
          <w:color w:val="000000"/>
          <w:sz w:val="44"/>
          <w:szCs w:val="44"/>
          <w:lang w:bidi="ar"/>
        </w:rPr>
      </w:pPr>
      <w:r>
        <w:rPr>
          <w:rFonts w:eastAsia="方正小标宋_GBK"/>
          <w:color w:val="000000"/>
          <w:sz w:val="44"/>
          <w:szCs w:val="44"/>
          <w:lang w:bidi="ar"/>
        </w:rPr>
        <w:t>名词解释</w:t>
      </w:r>
    </w:p>
    <w:p>
      <w:pPr>
        <w:snapToGrid w:val="0"/>
        <w:spacing w:line="579" w:lineRule="exact"/>
        <w:jc w:val="center"/>
        <w:rPr>
          <w:rFonts w:eastAsia="方正小标宋_GBK"/>
          <w:color w:val="000000"/>
          <w:sz w:val="44"/>
          <w:szCs w:val="44"/>
          <w:lang w:bidi="ar"/>
        </w:rPr>
      </w:pPr>
    </w:p>
    <w:p>
      <w:pPr>
        <w:keepNext w:val="0"/>
        <w:keepLines w:val="0"/>
        <w:pageBreakBefore w:val="0"/>
        <w:widowControl w:val="0"/>
        <w:numPr>
          <w:ilvl w:val="0"/>
          <w:numId w:val="5"/>
        </w:numPr>
        <w:kinsoku/>
        <w:wordWrap/>
        <w:overflowPunct/>
        <w:topLinePunct w:val="0"/>
        <w:autoSpaceDE/>
        <w:autoSpaceDN/>
        <w:bidi w:val="0"/>
        <w:adjustRightInd/>
        <w:snapToGrid w:val="0"/>
        <w:spacing w:line="579" w:lineRule="exact"/>
        <w:ind w:firstLine="640" w:firstLineChars="200"/>
        <w:textAlignment w:val="auto"/>
        <w:rPr>
          <w:rFonts w:eastAsia="方正仿宋_GBK"/>
          <w:sz w:val="32"/>
          <w:szCs w:val="32"/>
        </w:rPr>
      </w:pPr>
      <w:r>
        <w:rPr>
          <w:rFonts w:eastAsia="方正黑体_GBK"/>
          <w:sz w:val="32"/>
          <w:szCs w:val="32"/>
        </w:rPr>
        <w:t>工程研究中心：</w:t>
      </w:r>
      <w:r>
        <w:rPr>
          <w:rFonts w:eastAsia="方正仿宋_GBK"/>
          <w:sz w:val="32"/>
          <w:szCs w:val="32"/>
        </w:rPr>
        <w:t>工程研究中心是指根据建设现代化经济体系的重大战略需求，以服务国家重大战略任务和重点工程实施为目标，组织具有较强研究开发和综合实力的企业、科研单位、高等院校等建设的研究开发实体。</w:t>
      </w:r>
    </w:p>
    <w:p>
      <w:pPr>
        <w:keepNext w:val="0"/>
        <w:keepLines w:val="0"/>
        <w:pageBreakBefore w:val="0"/>
        <w:widowControl w:val="0"/>
        <w:numPr>
          <w:ilvl w:val="0"/>
          <w:numId w:val="5"/>
        </w:numPr>
        <w:kinsoku/>
        <w:wordWrap/>
        <w:overflowPunct/>
        <w:topLinePunct w:val="0"/>
        <w:autoSpaceDE/>
        <w:autoSpaceDN/>
        <w:bidi w:val="0"/>
        <w:adjustRightInd/>
        <w:snapToGrid w:val="0"/>
        <w:spacing w:line="579" w:lineRule="exact"/>
        <w:ind w:firstLine="640" w:firstLineChars="200"/>
        <w:textAlignment w:val="auto"/>
        <w:rPr>
          <w:rFonts w:eastAsia="方正仿宋_GBK"/>
          <w:sz w:val="32"/>
          <w:szCs w:val="32"/>
        </w:rPr>
      </w:pPr>
      <w:r>
        <w:rPr>
          <w:rFonts w:eastAsia="方正黑体_GBK"/>
          <w:sz w:val="32"/>
          <w:szCs w:val="32"/>
        </w:rPr>
        <w:t>企业技术中心：</w:t>
      </w:r>
      <w:r>
        <w:rPr>
          <w:rFonts w:eastAsia="方正仿宋_GBK"/>
          <w:sz w:val="32"/>
          <w:szCs w:val="32"/>
        </w:rPr>
        <w:t>是指企业为实施创新驱动发展战略需要设立的，以统筹负责企业技术创新发展规划、新产品新技术研发、知识产权创造运用、技术标准体系建设、创新人才凝聚培养、创新网络构建协同为主要职责，全面推进企业实施技术创新工程的技术研发与创新机构。</w:t>
      </w:r>
    </w:p>
    <w:p>
      <w:pPr>
        <w:keepNext w:val="0"/>
        <w:keepLines w:val="0"/>
        <w:pageBreakBefore w:val="0"/>
        <w:widowControl w:val="0"/>
        <w:numPr>
          <w:ilvl w:val="0"/>
          <w:numId w:val="5"/>
        </w:numPr>
        <w:kinsoku/>
        <w:wordWrap/>
        <w:overflowPunct/>
        <w:topLinePunct w:val="0"/>
        <w:autoSpaceDE/>
        <w:autoSpaceDN/>
        <w:bidi w:val="0"/>
        <w:adjustRightInd/>
        <w:snapToGrid w:val="0"/>
        <w:spacing w:line="579" w:lineRule="exact"/>
        <w:ind w:firstLine="640" w:firstLineChars="200"/>
        <w:textAlignment w:val="auto"/>
        <w:rPr>
          <w:rFonts w:eastAsia="方正仿宋_GBK"/>
          <w:sz w:val="32"/>
          <w:szCs w:val="32"/>
        </w:rPr>
      </w:pPr>
      <w:r>
        <w:rPr>
          <w:rFonts w:eastAsia="方正黑体_GBK"/>
          <w:sz w:val="32"/>
          <w:szCs w:val="32"/>
        </w:rPr>
        <w:t>产学研联合实验室：</w:t>
      </w:r>
      <w:r>
        <w:rPr>
          <w:rFonts w:eastAsia="方正仿宋_GBK"/>
          <w:sz w:val="32"/>
          <w:szCs w:val="32"/>
        </w:rPr>
        <w:t>是指由科技型中小企业联合国内高校、科研院所共建，引导高校院所优势创新资源为企业技术创新和产品开发提供技术支撑服务的研发平台。</w:t>
      </w:r>
    </w:p>
    <w:p>
      <w:pPr>
        <w:keepNext w:val="0"/>
        <w:keepLines w:val="0"/>
        <w:pageBreakBefore w:val="0"/>
        <w:widowControl w:val="0"/>
        <w:numPr>
          <w:ilvl w:val="0"/>
          <w:numId w:val="5"/>
        </w:numPr>
        <w:kinsoku/>
        <w:wordWrap/>
        <w:overflowPunct/>
        <w:topLinePunct w:val="0"/>
        <w:autoSpaceDE/>
        <w:autoSpaceDN/>
        <w:bidi w:val="0"/>
        <w:adjustRightInd/>
        <w:snapToGrid w:val="0"/>
        <w:spacing w:line="579" w:lineRule="exact"/>
        <w:ind w:firstLine="640" w:firstLineChars="200"/>
        <w:textAlignment w:val="auto"/>
        <w:rPr>
          <w:rFonts w:eastAsia="方正仿宋_GBK"/>
          <w:sz w:val="32"/>
          <w:szCs w:val="32"/>
        </w:rPr>
      </w:pPr>
      <w:r>
        <w:rPr>
          <w:rFonts w:eastAsia="方正黑体_GBK"/>
          <w:sz w:val="32"/>
          <w:szCs w:val="32"/>
        </w:rPr>
        <w:t>工程技术研究中心：</w:t>
      </w:r>
      <w:r>
        <w:rPr>
          <w:rFonts w:eastAsia="方正仿宋_GBK"/>
          <w:sz w:val="32"/>
          <w:szCs w:val="32"/>
        </w:rPr>
        <w:t>是指依托行业重点高新技术企业组建，开展行业共性关键技术研发，推动成果熟化和工程化，并为行业发展提供综合性技术服务的研发平台。</w:t>
      </w:r>
    </w:p>
    <w:p>
      <w:pPr>
        <w:pStyle w:val="2"/>
        <w:keepNext w:val="0"/>
        <w:keepLines w:val="0"/>
        <w:pageBreakBefore w:val="0"/>
        <w:widowControl w:val="0"/>
        <w:kinsoku/>
        <w:wordWrap/>
        <w:overflowPunct/>
        <w:topLinePunct w:val="0"/>
        <w:autoSpaceDE/>
        <w:autoSpaceDN/>
        <w:bidi w:val="0"/>
        <w:adjustRightInd/>
        <w:spacing w:line="579" w:lineRule="exact"/>
        <w:ind w:firstLine="640" w:firstLineChars="200"/>
        <w:textAlignment w:val="auto"/>
        <w:rPr>
          <w:rFonts w:ascii="Times New Roman" w:hAnsi="Times New Roman" w:eastAsia="方正仿宋_GBK" w:cs="Times New Roman"/>
          <w:sz w:val="32"/>
          <w:szCs w:val="32"/>
        </w:rPr>
      </w:pPr>
      <w:r>
        <w:rPr>
          <w:rFonts w:hint="eastAsia" w:ascii="Times New Roman" w:hAnsi="Times New Roman" w:eastAsia="方正黑体_GBK" w:cs="Times New Roman"/>
          <w:sz w:val="32"/>
          <w:szCs w:val="32"/>
        </w:rPr>
        <w:t>五、博士创新站：</w:t>
      </w:r>
      <w:r>
        <w:rPr>
          <w:rFonts w:hint="eastAsia" w:ascii="Times New Roman" w:hAnsi="Times New Roman" w:eastAsia="方正仿宋_GBK" w:cs="Times New Roman"/>
          <w:sz w:val="32"/>
          <w:szCs w:val="32"/>
        </w:rPr>
        <w:t>是以企业和建站博士团队为主体，以产学研合作为纽带的科技创新服务载体。其主要目的是促进建站单位和建站博士团队的双向共同成长，激发企业的发展活力和创新竞争力，同时为青年博士人才提供科研与产业有机融合的平台</w:t>
      </w:r>
      <w:r>
        <w:rPr>
          <w:rFonts w:hint="eastAsia" w:ascii="MS Mincho" w:hAnsi="MS Mincho" w:eastAsia="MS Mincho" w:cs="MS Mincho"/>
          <w:sz w:val="32"/>
          <w:szCs w:val="32"/>
        </w:rPr>
        <w:t>‌</w:t>
      </w:r>
      <w:r>
        <w:rPr>
          <w:rFonts w:hint="eastAsia" w:ascii="Times New Roman" w:hAnsi="Times New Roman" w:eastAsia="方正仿宋_GBK" w:cs="Times New Roman"/>
          <w:sz w:val="32"/>
          <w:szCs w:val="32"/>
        </w:rPr>
        <w:t>。</w:t>
      </w:r>
    </w:p>
    <w:p>
      <w:pPr>
        <w:pStyle w:val="3"/>
        <w:keepNext w:val="0"/>
        <w:keepLines w:val="0"/>
        <w:pageBreakBefore w:val="0"/>
        <w:widowControl w:val="0"/>
        <w:kinsoku/>
        <w:wordWrap/>
        <w:overflowPunct/>
        <w:topLinePunct w:val="0"/>
        <w:autoSpaceDE/>
        <w:autoSpaceDN/>
        <w:bidi w:val="0"/>
        <w:adjustRightInd/>
        <w:snapToGrid/>
        <w:spacing w:line="579" w:lineRule="exact"/>
        <w:ind w:left="0" w:leftChars="0" w:firstLine="640" w:firstLineChars="200"/>
        <w:textAlignment w:val="auto"/>
        <w:rPr>
          <w:rFonts w:hint="eastAsia" w:eastAsia="方正仿宋_GBK"/>
          <w:sz w:val="32"/>
          <w:szCs w:val="32"/>
        </w:rPr>
      </w:pPr>
      <w:r>
        <w:rPr>
          <w:rFonts w:hint="eastAsia" w:eastAsia="方正黑体_GBK"/>
          <w:sz w:val="32"/>
          <w:szCs w:val="32"/>
        </w:rPr>
        <w:t>六、省级及以上创新平台分中心：</w:t>
      </w:r>
      <w:r>
        <w:rPr>
          <w:rFonts w:hint="eastAsia" w:eastAsia="方正仿宋_GBK"/>
          <w:sz w:val="32"/>
          <w:szCs w:val="32"/>
        </w:rPr>
        <w:t>是指企业与国家级、省级创新平台合作，依托企业建设的重点实验室分中心、企业技术中心分中心、工程技术研究中心分中心等。其主要目的是为企业引入高端创新资源，提升企业在关键领域的研发能力和行业竞争力，促进技术成果转化与产业化。</w:t>
      </w:r>
    </w:p>
    <w:p>
      <w:pPr>
        <w:rPr>
          <w:rFonts w:ascii="宋体" w:hAnsi="Courier New" w:cs="Courier New"/>
          <w:sz w:val="32"/>
          <w:szCs w:val="21"/>
        </w:rPr>
      </w:pPr>
    </w:p>
    <w:p>
      <w:pPr>
        <w:spacing w:line="579" w:lineRule="exact"/>
        <w:rPr>
          <w:rFonts w:ascii="宋体" w:hAnsi="Courier New" w:cs="Courier New"/>
          <w:sz w:val="32"/>
          <w:szCs w:val="21"/>
        </w:rPr>
      </w:pPr>
    </w:p>
    <w:p>
      <w:pPr>
        <w:pStyle w:val="2"/>
        <w:spacing w:line="579" w:lineRule="exact"/>
        <w:rPr>
          <w:sz w:val="32"/>
        </w:rPr>
      </w:pPr>
    </w:p>
    <w:p>
      <w:pPr>
        <w:pStyle w:val="3"/>
        <w:rPr>
          <w:rFonts w:ascii="宋体" w:hAnsi="Courier New" w:cs="Courier New"/>
          <w:sz w:val="32"/>
          <w:szCs w:val="21"/>
        </w:rPr>
      </w:pPr>
    </w:p>
    <w:p>
      <w:pPr>
        <w:pStyle w:val="2"/>
      </w:pPr>
    </w:p>
    <w:p>
      <w:pPr>
        <w:pStyle w:val="3"/>
      </w:pPr>
    </w:p>
    <w:p>
      <w:pPr>
        <w:rPr>
          <w:rFonts w:hint="eastAsia"/>
          <w:lang w:val="en-US" w:eastAsia="zh-CN"/>
        </w:rPr>
      </w:pPr>
    </w:p>
    <w:p>
      <w:pPr>
        <w:pStyle w:val="2"/>
        <w:rPr>
          <w:rFonts w:hint="eastAsia" w:ascii="Times New Roman" w:hAnsi="Times New Roman" w:eastAsia="方正仿宋_GBK" w:cs="Times New Roman"/>
          <w:sz w:val="32"/>
          <w:szCs w:val="32"/>
          <w:lang w:val="en-US" w:eastAsia="zh-CN"/>
        </w:rPr>
      </w:pPr>
    </w:p>
    <w:p>
      <w:pPr>
        <w:pStyle w:val="3"/>
        <w:rPr>
          <w:rFonts w:hint="eastAsia" w:ascii="Times New Roman" w:hAnsi="Times New Roman" w:eastAsia="方正仿宋_GBK" w:cs="Times New Roman"/>
          <w:sz w:val="32"/>
          <w:szCs w:val="32"/>
          <w:lang w:val="en-US" w:eastAsia="zh-CN"/>
        </w:rPr>
      </w:pPr>
    </w:p>
    <w:p>
      <w:pPr>
        <w:rPr>
          <w:rFonts w:hint="eastAsia" w:ascii="Times New Roman" w:hAnsi="Times New Roman" w:eastAsia="方正仿宋_GBK" w:cs="Times New Roman"/>
          <w:sz w:val="32"/>
          <w:szCs w:val="32"/>
          <w:lang w:val="en-US" w:eastAsia="zh-CN"/>
        </w:rPr>
      </w:pPr>
    </w:p>
    <w:p>
      <w:pPr>
        <w:pStyle w:val="2"/>
        <w:rPr>
          <w:rFonts w:hint="eastAsia" w:ascii="Times New Roman" w:hAnsi="Times New Roman" w:eastAsia="方正仿宋_GBK" w:cs="Times New Roman"/>
          <w:sz w:val="32"/>
          <w:szCs w:val="32"/>
          <w:lang w:val="en-US" w:eastAsia="zh-CN"/>
        </w:rPr>
      </w:pPr>
    </w:p>
    <w:p>
      <w:pPr>
        <w:pStyle w:val="3"/>
        <w:rPr>
          <w:rFonts w:hint="eastAsia" w:ascii="Times New Roman" w:hAnsi="Times New Roman" w:eastAsia="方正仿宋_GBK" w:cs="Times New Roman"/>
          <w:sz w:val="32"/>
          <w:szCs w:val="32"/>
          <w:lang w:val="en-US" w:eastAsia="zh-CN"/>
        </w:rPr>
      </w:pPr>
    </w:p>
    <w:p>
      <w:pPr>
        <w:rPr>
          <w:rFonts w:hint="eastAsia" w:ascii="Times New Roman" w:hAnsi="Times New Roman" w:eastAsia="方正仿宋_GBK" w:cs="Times New Roman"/>
          <w:sz w:val="32"/>
          <w:szCs w:val="32"/>
          <w:lang w:val="en-US" w:eastAsia="zh-CN"/>
        </w:rPr>
      </w:pPr>
    </w:p>
    <w:p>
      <w:pPr>
        <w:pStyle w:val="2"/>
      </w:pP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00"/>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427253"/>
    <w:multiLevelType w:val="multilevel"/>
    <w:tmpl w:val="8B427253"/>
    <w:lvl w:ilvl="0" w:tentative="0">
      <w:start w:val="1"/>
      <w:numFmt w:val="chineseCounting"/>
      <w:suff w:val="nothing"/>
      <w:lvlText w:val="（%1）"/>
      <w:lvlJc w:val="left"/>
      <w:pPr>
        <w:ind w:left="0" w:firstLine="0"/>
      </w:pPr>
      <w:rPr>
        <w:rFonts w:hint="eastAsia" w:ascii="方正仿宋_GBK" w:hAnsi="方正仿宋_GBK" w:eastAsia="方正仿宋_GBK" w:cs="方正仿宋_GBK"/>
        <w:sz w:val="32"/>
        <w:szCs w:val="32"/>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900AD303"/>
    <w:multiLevelType w:val="multilevel"/>
    <w:tmpl w:val="900AD303"/>
    <w:lvl w:ilvl="0" w:tentative="0">
      <w:start w:val="1"/>
      <w:numFmt w:val="chineseCounting"/>
      <w:suff w:val="nothing"/>
      <w:lvlText w:val="（%1）"/>
      <w:lvlJc w:val="left"/>
      <w:pPr>
        <w:ind w:left="0" w:firstLine="0"/>
      </w:pPr>
      <w:rPr>
        <w:rFonts w:hint="eastAsia" w:ascii="方正仿宋_GBK" w:hAnsi="方正仿宋_GBK" w:eastAsia="方正仿宋_GBK" w:cs="方正仿宋_GBK"/>
        <w:sz w:val="32"/>
        <w:szCs w:val="32"/>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1C3B58A"/>
    <w:multiLevelType w:val="multilevel"/>
    <w:tmpl w:val="B1C3B58A"/>
    <w:lvl w:ilvl="0" w:tentative="0">
      <w:start w:val="1"/>
      <w:numFmt w:val="chineseCounting"/>
      <w:suff w:val="space"/>
      <w:lvlText w:val="第%1章"/>
      <w:lvlJc w:val="left"/>
      <w:pPr>
        <w:ind w:left="1134" w:firstLine="0"/>
      </w:pPr>
      <w:rPr>
        <w:rFonts w:hint="eastAsia" w:ascii="方正黑体_GBK" w:hAnsi="方正黑体_GBK" w:eastAsia="方正黑体_GBK" w:cs="方正黑体_GBK"/>
        <w:sz w:val="32"/>
        <w:szCs w:val="32"/>
      </w:rPr>
    </w:lvl>
    <w:lvl w:ilvl="1" w:tentative="0">
      <w:start w:val="1"/>
      <w:numFmt w:val="decimal"/>
      <w:lvlText w:val="%2."/>
      <w:lvlJc w:val="left"/>
      <w:pPr>
        <w:tabs>
          <w:tab w:val="left" w:pos="2574"/>
        </w:tabs>
        <w:ind w:left="2574" w:hanging="360"/>
      </w:pPr>
    </w:lvl>
    <w:lvl w:ilvl="2" w:tentative="0">
      <w:start w:val="1"/>
      <w:numFmt w:val="decimal"/>
      <w:lvlText w:val="%3."/>
      <w:lvlJc w:val="left"/>
      <w:pPr>
        <w:tabs>
          <w:tab w:val="left" w:pos="3294"/>
        </w:tabs>
        <w:ind w:left="3294" w:hanging="360"/>
      </w:pPr>
    </w:lvl>
    <w:lvl w:ilvl="3" w:tentative="0">
      <w:start w:val="1"/>
      <w:numFmt w:val="decimal"/>
      <w:lvlText w:val="%4."/>
      <w:lvlJc w:val="left"/>
      <w:pPr>
        <w:tabs>
          <w:tab w:val="left" w:pos="4014"/>
        </w:tabs>
        <w:ind w:left="4014" w:hanging="360"/>
      </w:pPr>
    </w:lvl>
    <w:lvl w:ilvl="4" w:tentative="0">
      <w:start w:val="1"/>
      <w:numFmt w:val="decimal"/>
      <w:lvlText w:val="%5."/>
      <w:lvlJc w:val="left"/>
      <w:pPr>
        <w:tabs>
          <w:tab w:val="left" w:pos="4734"/>
        </w:tabs>
        <w:ind w:left="4734" w:hanging="360"/>
      </w:pPr>
    </w:lvl>
    <w:lvl w:ilvl="5" w:tentative="0">
      <w:start w:val="1"/>
      <w:numFmt w:val="decimal"/>
      <w:lvlText w:val="%6."/>
      <w:lvlJc w:val="left"/>
      <w:pPr>
        <w:tabs>
          <w:tab w:val="left" w:pos="5454"/>
        </w:tabs>
        <w:ind w:left="5454" w:hanging="360"/>
      </w:pPr>
    </w:lvl>
    <w:lvl w:ilvl="6" w:tentative="0">
      <w:start w:val="1"/>
      <w:numFmt w:val="decimal"/>
      <w:lvlText w:val="%7."/>
      <w:lvlJc w:val="left"/>
      <w:pPr>
        <w:tabs>
          <w:tab w:val="left" w:pos="6174"/>
        </w:tabs>
        <w:ind w:left="6174" w:hanging="360"/>
      </w:pPr>
    </w:lvl>
    <w:lvl w:ilvl="7" w:tentative="0">
      <w:start w:val="1"/>
      <w:numFmt w:val="decimal"/>
      <w:lvlText w:val="%8."/>
      <w:lvlJc w:val="left"/>
      <w:pPr>
        <w:tabs>
          <w:tab w:val="left" w:pos="6894"/>
        </w:tabs>
        <w:ind w:left="6894" w:hanging="360"/>
      </w:pPr>
    </w:lvl>
    <w:lvl w:ilvl="8" w:tentative="0">
      <w:start w:val="1"/>
      <w:numFmt w:val="decimal"/>
      <w:lvlText w:val="%9."/>
      <w:lvlJc w:val="left"/>
      <w:pPr>
        <w:tabs>
          <w:tab w:val="left" w:pos="7614"/>
        </w:tabs>
        <w:ind w:left="7614" w:hanging="360"/>
      </w:pPr>
    </w:lvl>
  </w:abstractNum>
  <w:abstractNum w:abstractNumId="3">
    <w:nsid w:val="3DFFAD43"/>
    <w:multiLevelType w:val="multilevel"/>
    <w:tmpl w:val="3DFFAD43"/>
    <w:lvl w:ilvl="0" w:tentative="0">
      <w:start w:val="1"/>
      <w:numFmt w:val="chineseCounting"/>
      <w:suff w:val="space"/>
      <w:lvlText w:val="第%1条"/>
      <w:lvlJc w:val="left"/>
      <w:pPr>
        <w:ind w:left="0" w:firstLine="0"/>
      </w:pPr>
      <w:rPr>
        <w:rFonts w:hint="eastAsia" w:ascii="方正仿宋_GBK" w:hAnsi="方正仿宋_GBK" w:eastAsia="方正仿宋_GBK" w:cs="方正仿宋_GBK"/>
        <w:color w:val="000000"/>
        <w:sz w:val="32"/>
        <w:szCs w:val="32"/>
        <w:lang w:val="en-U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719E799D"/>
    <w:multiLevelType w:val="singleLevel"/>
    <w:tmpl w:val="719E799D"/>
    <w:lvl w:ilvl="0" w:tentative="0">
      <w:start w:val="1"/>
      <w:numFmt w:val="chineseCounting"/>
      <w:suff w:val="nothing"/>
      <w:lvlText w:val="%1、"/>
      <w:lvlJc w:val="left"/>
      <w:rPr>
        <w:rFonts w:hint="eastAsia" w:ascii="方正黑体_GBK" w:hAnsi="方正黑体_GBK" w:eastAsia="方正黑体_GBK" w:cs="方正黑体_GBK"/>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zZTIyMTUyZGZiNGNhZDkxODI5YTAwZDhkNGVkN2MifQ=="/>
  </w:docVars>
  <w:rsids>
    <w:rsidRoot w:val="78DC2D25"/>
    <w:rsid w:val="00661709"/>
    <w:rsid w:val="01CF29D3"/>
    <w:rsid w:val="042F241B"/>
    <w:rsid w:val="06345BBB"/>
    <w:rsid w:val="076058D8"/>
    <w:rsid w:val="0A1006C9"/>
    <w:rsid w:val="0AC77112"/>
    <w:rsid w:val="0C5214E8"/>
    <w:rsid w:val="0C89795F"/>
    <w:rsid w:val="0DA9484A"/>
    <w:rsid w:val="0DC96C25"/>
    <w:rsid w:val="0E4108A1"/>
    <w:rsid w:val="0E4B6D2E"/>
    <w:rsid w:val="11420AEA"/>
    <w:rsid w:val="12AF6DF6"/>
    <w:rsid w:val="1355733F"/>
    <w:rsid w:val="1437348F"/>
    <w:rsid w:val="16CC753D"/>
    <w:rsid w:val="178D5E39"/>
    <w:rsid w:val="1AEB3A71"/>
    <w:rsid w:val="1B3363DF"/>
    <w:rsid w:val="1BB5280C"/>
    <w:rsid w:val="1C784D84"/>
    <w:rsid w:val="1D20306D"/>
    <w:rsid w:val="1E1C5D44"/>
    <w:rsid w:val="1F6D7A84"/>
    <w:rsid w:val="21C1459A"/>
    <w:rsid w:val="223D3B0A"/>
    <w:rsid w:val="22734E06"/>
    <w:rsid w:val="22E11C24"/>
    <w:rsid w:val="24AE29AA"/>
    <w:rsid w:val="27955378"/>
    <w:rsid w:val="2B5B635B"/>
    <w:rsid w:val="2F7A286D"/>
    <w:rsid w:val="2FEF5709"/>
    <w:rsid w:val="30D12114"/>
    <w:rsid w:val="30FC4CA2"/>
    <w:rsid w:val="33E94354"/>
    <w:rsid w:val="375A306E"/>
    <w:rsid w:val="38405430"/>
    <w:rsid w:val="3890479C"/>
    <w:rsid w:val="39534A87"/>
    <w:rsid w:val="397B28EA"/>
    <w:rsid w:val="3DB42DAD"/>
    <w:rsid w:val="3E3D4376"/>
    <w:rsid w:val="431D5FF4"/>
    <w:rsid w:val="4436254A"/>
    <w:rsid w:val="45CF284F"/>
    <w:rsid w:val="470C4C67"/>
    <w:rsid w:val="479C0066"/>
    <w:rsid w:val="48D83854"/>
    <w:rsid w:val="4A761352"/>
    <w:rsid w:val="4E992DD9"/>
    <w:rsid w:val="4EDF7AC2"/>
    <w:rsid w:val="4EE31744"/>
    <w:rsid w:val="4F59560C"/>
    <w:rsid w:val="500D001F"/>
    <w:rsid w:val="51645432"/>
    <w:rsid w:val="52DE4FC4"/>
    <w:rsid w:val="56586783"/>
    <w:rsid w:val="56877432"/>
    <w:rsid w:val="573568B4"/>
    <w:rsid w:val="58627B7D"/>
    <w:rsid w:val="58C930D7"/>
    <w:rsid w:val="58E86354"/>
    <w:rsid w:val="59C364E1"/>
    <w:rsid w:val="5AC6EAA6"/>
    <w:rsid w:val="5B62772D"/>
    <w:rsid w:val="5B8E460A"/>
    <w:rsid w:val="64785783"/>
    <w:rsid w:val="66C26C79"/>
    <w:rsid w:val="697C77D4"/>
    <w:rsid w:val="6AD37B7E"/>
    <w:rsid w:val="6AF634A5"/>
    <w:rsid w:val="6B0428D7"/>
    <w:rsid w:val="6BD4099E"/>
    <w:rsid w:val="6BFF57F0"/>
    <w:rsid w:val="6CBF6EF4"/>
    <w:rsid w:val="6D331B5B"/>
    <w:rsid w:val="6FC73F9F"/>
    <w:rsid w:val="70642723"/>
    <w:rsid w:val="71774146"/>
    <w:rsid w:val="71CA611F"/>
    <w:rsid w:val="73EB094E"/>
    <w:rsid w:val="75385F49"/>
    <w:rsid w:val="76615C4E"/>
    <w:rsid w:val="78021921"/>
    <w:rsid w:val="786C6182"/>
    <w:rsid w:val="78DC2D25"/>
    <w:rsid w:val="7A7660E7"/>
    <w:rsid w:val="7B431609"/>
    <w:rsid w:val="7C1045A7"/>
    <w:rsid w:val="7C6F55F4"/>
    <w:rsid w:val="7F787490"/>
    <w:rsid w:val="AFAF9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next w:val="3"/>
    <w:qFormat/>
    <w:uiPriority w:val="0"/>
    <w:rPr>
      <w:rFonts w:ascii="宋体" w:hAnsi="Courier New" w:eastAsia="宋体" w:cs="Courier New"/>
      <w:szCs w:val="21"/>
    </w:rPr>
  </w:style>
  <w:style w:type="paragraph" w:styleId="3">
    <w:name w:val="toc 2"/>
    <w:basedOn w:val="1"/>
    <w:next w:val="1"/>
    <w:qFormat/>
    <w:uiPriority w:val="39"/>
    <w:pPr>
      <w:ind w:left="420" w:leftChars="200"/>
    </w:pPr>
  </w:style>
  <w:style w:type="paragraph" w:styleId="4">
    <w:name w:val="Body Text"/>
    <w:basedOn w:val="1"/>
    <w:next w:val="5"/>
    <w:qFormat/>
    <w:uiPriority w:val="1"/>
    <w:rPr>
      <w:rFonts w:ascii="方正仿宋_GBK" w:hAnsi="方正仿宋_GBK" w:eastAsia="方正仿宋_GBK" w:cs="方正仿宋_GBK"/>
      <w:sz w:val="32"/>
      <w:szCs w:val="32"/>
      <w:lang w:val="zh-CN" w:eastAsia="zh-CN" w:bidi="zh-CN"/>
    </w:rPr>
  </w:style>
  <w:style w:type="paragraph" w:styleId="5">
    <w:name w:val="Subtitle"/>
    <w:basedOn w:val="1"/>
    <w:next w:val="1"/>
    <w:qFormat/>
    <w:uiPriority w:val="11"/>
    <w:pPr>
      <w:spacing w:before="240" w:after="60" w:line="312" w:lineRule="auto"/>
      <w:jc w:val="center"/>
      <w:outlineLvl w:val="1"/>
    </w:pPr>
    <w:rPr>
      <w:b/>
      <w:bCs/>
      <w:kern w:val="28"/>
    </w:rPr>
  </w:style>
  <w:style w:type="paragraph" w:styleId="6">
    <w:name w:val="Body Text Indent 2"/>
    <w:basedOn w:val="1"/>
    <w:qFormat/>
    <w:uiPriority w:val="0"/>
    <w:pPr>
      <w:keepNext w:val="0"/>
      <w:keepLines w:val="0"/>
      <w:widowControl w:val="0"/>
      <w:suppressLineNumbers w:val="0"/>
      <w:spacing w:before="100" w:beforeAutospacing="0" w:line="500" w:lineRule="exact"/>
      <w:ind w:firstLine="723" w:firstLineChars="200"/>
      <w:jc w:val="both"/>
    </w:pPr>
    <w:rPr>
      <w:rFonts w:hint="default" w:ascii="楷体_GB2312" w:hAnsi="宋体" w:eastAsia="楷体_GB2312" w:cs="楷体_GB2312"/>
      <w:b/>
      <w:kern w:val="2"/>
      <w:sz w:val="36"/>
      <w:szCs w:val="36"/>
      <w:lang w:val="en-US" w:eastAsia="zh-CN" w:bidi="ar"/>
    </w:rPr>
  </w:style>
  <w:style w:type="paragraph" w:styleId="7">
    <w:name w:val="footer"/>
    <w:basedOn w:val="1"/>
    <w:qFormat/>
    <w:uiPriority w:val="99"/>
    <w:pPr>
      <w:tabs>
        <w:tab w:val="center" w:pos="4153"/>
        <w:tab w:val="right" w:pos="8306"/>
      </w:tabs>
      <w:snapToGrid w:val="0"/>
      <w:jc w:val="left"/>
    </w:pPr>
    <w:rPr>
      <w:kern w:val="0"/>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Normal (Web)"/>
    <w:basedOn w:val="1"/>
    <w:unhideWhenUsed/>
    <w:qFormat/>
    <w:uiPriority w:val="99"/>
    <w:pPr>
      <w:spacing w:before="100" w:beforeAutospacing="1" w:after="100" w:afterAutospacing="1"/>
    </w:pPr>
  </w:style>
  <w:style w:type="paragraph" w:styleId="10">
    <w:name w:val="Body Text First Indent"/>
    <w:basedOn w:val="4"/>
    <w:unhideWhenUsed/>
    <w:qFormat/>
    <w:uiPriority w:val="0"/>
    <w:pPr>
      <w:ind w:firstLine="420" w:firstLineChars="1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Default"/>
    <w:basedOn w:val="1"/>
    <w:qFormat/>
    <w:uiPriority w:val="0"/>
    <w:pPr>
      <w:autoSpaceDE w:val="0"/>
      <w:autoSpaceDN w:val="0"/>
      <w:adjustRightInd w:val="0"/>
      <w:jc w:val="left"/>
    </w:pPr>
    <w:rPr>
      <w:rFonts w:hint="eastAsia" w:ascii="仿宋_GB2312" w:hAnsi="Calibri" w:eastAsia="仿宋_GB2312" w:cs="Times New Roman"/>
      <w:color w:val="000000"/>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318</Words>
  <Characters>361</Characters>
  <Lines>0</Lines>
  <Paragraphs>0</Paragraphs>
  <TotalTime>1</TotalTime>
  <ScaleCrop>false</ScaleCrop>
  <LinksUpToDate>false</LinksUpToDate>
  <CharactersWithSpaces>408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2021-11-02T14:29:00Z</dcterms:created>
  <dc:creator>Admin</dc:creator>
  <cp:lastModifiedBy>区新科局</cp:lastModifiedBy>
  <cp:lastPrinted>2023-05-27T15:59:00Z</cp:lastPrinted>
  <dcterms:modified xsi:type="dcterms:W3CDTF">2025-06-24T02:01:35Z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0DCD63B00E8640DE908FC25865923433</vt:lpwstr>
  </property>
</Properties>
</file>