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C8292">
      <w:pPr>
        <w:spacing w:line="560" w:lineRule="exact"/>
        <w:jc w:val="center"/>
        <w:rPr>
          <w:rFonts w:hint="eastAsia" w:ascii="方正小标宋简体" w:eastAsia="方正小标宋简体"/>
          <w:sz w:val="44"/>
          <w:szCs w:val="44"/>
          <w:lang w:eastAsia="zh-CN"/>
        </w:rPr>
      </w:pPr>
    </w:p>
    <w:p w14:paraId="607C7556">
      <w:pPr>
        <w:spacing w:line="560" w:lineRule="exact"/>
        <w:jc w:val="center"/>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成都市锦江区市场监督管理局</w:t>
      </w:r>
    </w:p>
    <w:p w14:paraId="3D71C33E">
      <w:pPr>
        <w:spacing w:line="560" w:lineRule="exact"/>
        <w:jc w:val="center"/>
      </w:pPr>
      <w:r>
        <w:rPr>
          <w:rFonts w:hint="eastAsia" w:ascii="方正小标宋简体" w:eastAsia="方正小标宋简体"/>
          <w:sz w:val="44"/>
          <w:szCs w:val="44"/>
        </w:rPr>
        <w:t>“1+3+3”产业体系发展专项资金管理办法</w:t>
      </w:r>
      <w:r>
        <w:t xml:space="preserve"> </w:t>
      </w:r>
    </w:p>
    <w:p w14:paraId="145174C3">
      <w:pPr>
        <w:spacing w:line="560" w:lineRule="exact"/>
        <w:jc w:val="center"/>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（征求意见稿）</w:t>
      </w:r>
    </w:p>
    <w:p w14:paraId="3EAF6E8E">
      <w:pPr>
        <w:spacing w:line="560" w:lineRule="exact"/>
        <w:jc w:val="center"/>
        <w:rPr>
          <w:rFonts w:hint="eastAsia" w:ascii="仿宋" w:hAnsi="黑体"/>
          <w:lang w:eastAsia="zh-CN"/>
        </w:rPr>
      </w:pPr>
    </w:p>
    <w:p w14:paraId="2B439291">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rPr>
        <w:t>第一章   总则</w:t>
      </w:r>
    </w:p>
    <w:p w14:paraId="09E085EF">
      <w:pPr>
        <w:widowControl w:val="0"/>
        <w:wordWrap/>
        <w:spacing w:line="558" w:lineRule="exact"/>
        <w:textAlignment w:val="auto"/>
        <w:rPr>
          <w:rFonts w:hint="eastAsia" w:ascii="方正仿宋_GBK" w:hAnsi="方正仿宋_GBK" w:eastAsia="方正仿宋_GBK" w:cs="方正仿宋_GBK"/>
        </w:rPr>
      </w:pPr>
      <w:r>
        <w:rPr>
          <w:rFonts w:hint="eastAsia"/>
        </w:rPr>
        <w:t xml:space="preserve">   </w:t>
      </w:r>
      <w:r>
        <w:rPr>
          <w:rFonts w:hint="eastAsia" w:ascii="方正仿宋_GBK" w:hAnsi="方正仿宋_GBK" w:eastAsia="方正仿宋_GBK" w:cs="方正仿宋_GBK"/>
        </w:rPr>
        <w:t xml:space="preserve"> 第一条 为加强和规范“1+3+3”产业体系发展专项资金管理，提高资金使用效益，</w:t>
      </w:r>
      <w:r>
        <w:rPr>
          <w:rFonts w:hint="eastAsia" w:ascii="方正仿宋_GBK" w:hAnsi="方正仿宋_GBK" w:eastAsia="方正仿宋_GBK" w:cs="方正仿宋_GBK"/>
          <w:lang w:eastAsia="zh-CN"/>
        </w:rPr>
        <w:t>推动锦江区</w:t>
      </w:r>
      <w:r>
        <w:rPr>
          <w:rFonts w:hint="eastAsia" w:ascii="方正仿宋_GBK" w:hAnsi="方正仿宋_GBK" w:eastAsia="方正仿宋_GBK" w:cs="方正仿宋_GBK"/>
        </w:rPr>
        <w:t>“1+3+3”产业体系</w:t>
      </w:r>
      <w:r>
        <w:rPr>
          <w:rFonts w:hint="eastAsia" w:ascii="方正仿宋_GBK" w:hAnsi="方正仿宋_GBK" w:eastAsia="方正仿宋_GBK" w:cs="方正仿宋_GBK"/>
          <w:lang w:eastAsia="zh-CN"/>
        </w:rPr>
        <w:t>高质量发展，</w:t>
      </w:r>
      <w:r>
        <w:rPr>
          <w:rFonts w:hint="eastAsia" w:ascii="方正仿宋_GBK" w:hAnsi="方正仿宋_GBK" w:eastAsia="方正仿宋_GBK" w:cs="方正仿宋_GBK"/>
        </w:rPr>
        <w:t>根据《中华人民共和国预算法》</w:t>
      </w:r>
      <w:r>
        <w:rPr>
          <w:rFonts w:hint="eastAsia" w:ascii="方正仿宋_GBK" w:hAnsi="方正仿宋_GBK" w:eastAsia="方正仿宋_GBK" w:cs="方正仿宋_GBK"/>
          <w:lang w:eastAsia="zh-CN"/>
        </w:rPr>
        <w:t>《成都市锦江区区级财政专项资金管理办法》《区级财政专项资金管理办法制定指南》</w:t>
      </w:r>
      <w:r>
        <w:rPr>
          <w:rFonts w:hint="eastAsia" w:ascii="方正仿宋_GBK" w:hAnsi="方正仿宋_GBK" w:eastAsia="方正仿宋_GBK" w:cs="方正仿宋_GBK"/>
        </w:rPr>
        <w:t>等有关法律法规和文件精神，结合</w:t>
      </w:r>
      <w:r>
        <w:rPr>
          <w:rFonts w:hint="eastAsia" w:ascii="方正仿宋_GBK" w:hAnsi="方正仿宋_GBK" w:eastAsia="方正仿宋_GBK" w:cs="方正仿宋_GBK"/>
          <w:lang w:eastAsia="zh-CN"/>
        </w:rPr>
        <w:t>我区</w:t>
      </w:r>
      <w:r>
        <w:rPr>
          <w:rFonts w:hint="eastAsia" w:ascii="方正仿宋_GBK" w:hAnsi="方正仿宋_GBK" w:eastAsia="方正仿宋_GBK" w:cs="方正仿宋_GBK"/>
        </w:rPr>
        <w:t>实际，制定本办法。</w:t>
      </w:r>
    </w:p>
    <w:p w14:paraId="5FFB6D27">
      <w:pPr>
        <w:widowControl w:val="0"/>
        <w:wordWrap/>
        <w:spacing w:line="558" w:lineRule="exact"/>
        <w:ind w:firstLine="64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rPr>
        <w:t>第二条 本办法所称“1+3+3”产业体系发展专项资金</w:t>
      </w:r>
      <w:r>
        <w:rPr>
          <w:rFonts w:hint="eastAsia" w:ascii="方正仿宋_GBK" w:hAnsi="方正仿宋_GBK" w:eastAsia="方正仿宋_GBK" w:cs="方正仿宋_GBK"/>
          <w:lang w:eastAsia="zh-CN"/>
        </w:rPr>
        <w:t>（以下简称“专项资金”）</w:t>
      </w:r>
      <w:r>
        <w:rPr>
          <w:rFonts w:hint="eastAsia" w:ascii="方正仿宋_GBK" w:hAnsi="方正仿宋_GBK" w:eastAsia="方正仿宋_GBK" w:cs="方正仿宋_GBK"/>
        </w:rPr>
        <w:t>是指区级财政预算安排，用于</w:t>
      </w:r>
      <w:r>
        <w:rPr>
          <w:rFonts w:hint="eastAsia" w:ascii="方正仿宋_GBK" w:hAnsi="方正仿宋_GBK" w:eastAsia="方正仿宋_GBK" w:cs="方正仿宋_GBK"/>
          <w:lang w:eastAsia="zh-CN"/>
        </w:rPr>
        <w:t>实施《成都市锦江区关于推动“1+3+3”产业体系高质量发展的若干政策》中</w:t>
      </w:r>
      <w:r>
        <w:rPr>
          <w:rFonts w:hint="eastAsia" w:ascii="方正仿宋_GBK" w:hAnsi="方正仿宋_GBK" w:eastAsia="方正仿宋_GBK" w:cs="方正仿宋_GBK"/>
        </w:rPr>
        <w:t>促进知识产权创造、运用和保护</w:t>
      </w:r>
      <w:r>
        <w:rPr>
          <w:rFonts w:hint="eastAsia" w:ascii="方正仿宋_GBK" w:hAnsi="方正仿宋_GBK" w:eastAsia="方正仿宋_GBK" w:cs="方正仿宋_GBK"/>
          <w:lang w:eastAsia="zh-CN"/>
        </w:rPr>
        <w:t>、支持质量基础能力提升和鼓励个体工商户“个转企”政策</w:t>
      </w:r>
      <w:r>
        <w:rPr>
          <w:rFonts w:hint="eastAsia" w:ascii="方正仿宋_GBK" w:hAnsi="方正仿宋_GBK" w:eastAsia="方正仿宋_GBK" w:cs="方正仿宋_GBK"/>
        </w:rPr>
        <w:t>的</w:t>
      </w:r>
      <w:r>
        <w:rPr>
          <w:rFonts w:hint="eastAsia" w:ascii="方正仿宋_GBK" w:hAnsi="方正仿宋_GBK" w:eastAsia="方正仿宋_GBK" w:cs="方正仿宋_GBK"/>
          <w:lang w:eastAsia="zh-CN"/>
        </w:rPr>
        <w:t>专项</w:t>
      </w:r>
      <w:r>
        <w:rPr>
          <w:rFonts w:hint="eastAsia" w:ascii="方正仿宋_GBK" w:hAnsi="方正仿宋_GBK" w:eastAsia="方正仿宋_GBK" w:cs="方正仿宋_GBK"/>
        </w:rPr>
        <w:t>资金</w:t>
      </w:r>
      <w:r>
        <w:rPr>
          <w:rFonts w:hint="eastAsia" w:ascii="方正仿宋_GBK" w:hAnsi="方正仿宋_GBK" w:eastAsia="方正仿宋_GBK" w:cs="方正仿宋_GBK"/>
          <w:lang w:eastAsia="zh-CN"/>
        </w:rPr>
        <w:t>。</w:t>
      </w:r>
    </w:p>
    <w:p w14:paraId="3161A1AD">
      <w:pPr>
        <w:widowControl w:val="0"/>
        <w:wordWrap/>
        <w:spacing w:line="558" w:lineRule="exact"/>
        <w:ind w:firstLine="640"/>
        <w:textAlignment w:val="auto"/>
        <w:rPr>
          <w:rFonts w:hint="eastAsia" w:ascii="方正仿宋_GBK" w:hAnsi="方正仿宋_GBK" w:eastAsia="方正仿宋_GBK" w:cs="方正仿宋_GBK"/>
          <w:color w:val="FF0000"/>
          <w:lang w:val="en-US" w:eastAsia="zh-CN"/>
        </w:rPr>
      </w:pPr>
      <w:r>
        <w:rPr>
          <w:rFonts w:hint="eastAsia" w:ascii="方正仿宋_GBK" w:hAnsi="方正仿宋_GBK" w:eastAsia="方正仿宋_GBK" w:cs="方正仿宋_GBK"/>
          <w:color w:val="auto"/>
          <w:lang w:eastAsia="zh-CN"/>
        </w:rPr>
        <w:t>第三条</w:t>
      </w:r>
      <w:r>
        <w:rPr>
          <w:rFonts w:hint="eastAsia" w:ascii="方正仿宋_GBK" w:hAnsi="方正仿宋_GBK" w:eastAsia="方正仿宋_GBK" w:cs="方正仿宋_GBK"/>
          <w:color w:val="auto"/>
          <w:lang w:val="en-US" w:eastAsia="zh-CN"/>
        </w:rPr>
        <w:t xml:space="preserve"> </w:t>
      </w:r>
      <w:r>
        <w:rPr>
          <w:rFonts w:hint="eastAsia" w:ascii="方正仿宋_GBK" w:hAnsi="方正仿宋_GBK" w:eastAsia="方正仿宋_GBK" w:cs="方正仿宋_GBK"/>
          <w:color w:val="auto"/>
        </w:rPr>
        <w:t>产业发展专项资金</w:t>
      </w:r>
      <w:r>
        <w:rPr>
          <w:rFonts w:hint="eastAsia" w:ascii="方正仿宋_GBK" w:hAnsi="方正仿宋_GBK" w:eastAsia="方正仿宋_GBK" w:cs="方正仿宋_GBK"/>
          <w:color w:val="auto"/>
          <w:lang w:val="en-US" w:eastAsia="zh-CN"/>
        </w:rPr>
        <w:t>实行专项管理，</w:t>
      </w:r>
      <w:r>
        <w:rPr>
          <w:rFonts w:hint="eastAsia" w:ascii="方正仿宋_GBK" w:hAnsi="方正仿宋_GBK" w:eastAsia="方正仿宋_GBK" w:cs="方正仿宋_GBK"/>
          <w:color w:val="auto"/>
        </w:rPr>
        <w:t>资金管理</w:t>
      </w:r>
      <w:r>
        <w:rPr>
          <w:rFonts w:hint="eastAsia" w:ascii="方正仿宋_GBK" w:hAnsi="方正仿宋_GBK" w:eastAsia="方正仿宋_GBK" w:cs="方正仿宋_GBK"/>
          <w:color w:val="auto"/>
          <w:lang w:eastAsia="zh-CN"/>
        </w:rPr>
        <w:t>和使用</w:t>
      </w:r>
      <w:r>
        <w:rPr>
          <w:rFonts w:hint="eastAsia" w:ascii="方正仿宋_GBK" w:hAnsi="方正仿宋_GBK" w:eastAsia="方正仿宋_GBK" w:cs="方正仿宋_GBK"/>
          <w:color w:val="auto"/>
        </w:rPr>
        <w:t>应当</w:t>
      </w:r>
      <w:r>
        <w:rPr>
          <w:rFonts w:hint="eastAsia" w:ascii="方正仿宋_GBK" w:hAnsi="方正仿宋_GBK" w:eastAsia="方正仿宋_GBK" w:cs="方正仿宋_GBK"/>
          <w:color w:val="auto"/>
          <w:lang w:val="en-US" w:eastAsia="zh-CN"/>
        </w:rPr>
        <w:t>遵循</w:t>
      </w:r>
      <w:r>
        <w:rPr>
          <w:rFonts w:hint="eastAsia" w:ascii="方正仿宋_GBK" w:hAnsi="方正仿宋_GBK" w:eastAsia="方正仿宋_GBK" w:cs="方正仿宋_GBK"/>
          <w:color w:val="auto"/>
        </w:rPr>
        <w:t>下列原则：</w:t>
      </w:r>
      <w:r>
        <w:rPr>
          <w:rFonts w:hint="eastAsia" w:ascii="方正仿宋_GBK" w:hAnsi="方正仿宋_GBK" w:eastAsia="方正仿宋_GBK" w:cs="方正仿宋_GBK"/>
          <w:color w:val="auto"/>
          <w:lang w:eastAsia="zh-CN"/>
        </w:rPr>
        <w:t>加</w:t>
      </w:r>
      <w:r>
        <w:rPr>
          <w:rFonts w:hint="eastAsia" w:ascii="方正仿宋_GBK" w:hAnsi="方正仿宋_GBK" w:eastAsia="方正仿宋_GBK" w:cs="方正仿宋_GBK"/>
          <w:color w:val="auto"/>
        </w:rPr>
        <w:t>强统筹，保障重点</w:t>
      </w:r>
      <w:r>
        <w:rPr>
          <w:rFonts w:hint="eastAsia" w:ascii="方正仿宋_GBK" w:hAnsi="方正仿宋_GBK" w:eastAsia="方正仿宋_GBK" w:cs="方正仿宋_GBK"/>
          <w:color w:val="auto"/>
          <w:lang w:eastAsia="zh-CN"/>
        </w:rPr>
        <w:t>；</w:t>
      </w:r>
      <w:r>
        <w:rPr>
          <w:rFonts w:hint="eastAsia" w:ascii="方正仿宋_GBK" w:hAnsi="方正仿宋_GBK" w:eastAsia="方正仿宋_GBK" w:cs="方正仿宋_GBK"/>
          <w:color w:val="auto"/>
        </w:rPr>
        <w:t>规范管理，科学分配</w:t>
      </w:r>
      <w:r>
        <w:rPr>
          <w:rFonts w:hint="eastAsia" w:ascii="方正仿宋_GBK" w:hAnsi="方正仿宋_GBK" w:eastAsia="方正仿宋_GBK" w:cs="方正仿宋_GBK"/>
          <w:color w:val="auto"/>
          <w:lang w:eastAsia="zh-CN"/>
        </w:rPr>
        <w:t>；</w:t>
      </w:r>
      <w:r>
        <w:rPr>
          <w:rFonts w:hint="eastAsia" w:ascii="方正仿宋_GBK" w:hAnsi="方正仿宋_GBK" w:eastAsia="方正仿宋_GBK" w:cs="方正仿宋_GBK"/>
          <w:color w:val="auto"/>
          <w:lang w:val="en-US" w:eastAsia="zh-CN"/>
        </w:rPr>
        <w:t>注重绩效，公开透明</w:t>
      </w:r>
      <w:r>
        <w:rPr>
          <w:rFonts w:hint="eastAsia" w:ascii="方正仿宋_GBK" w:hAnsi="方正仿宋_GBK" w:eastAsia="方正仿宋_GBK" w:cs="方正仿宋_GBK"/>
          <w:lang w:val="en-US" w:eastAsia="zh-CN"/>
        </w:rPr>
        <w:t>。</w:t>
      </w:r>
    </w:p>
    <w:p w14:paraId="0C5BD3E1">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lang w:eastAsia="zh-CN"/>
        </w:rPr>
      </w:pPr>
      <w:r>
        <w:rPr>
          <w:rFonts w:hint="eastAsia" w:ascii="Times New Roman" w:hAnsi="Times New Roman" w:eastAsia="方正黑体_GBK" w:cs="Times New Roman"/>
          <w:color w:val="auto"/>
          <w:sz w:val="32"/>
          <w:szCs w:val="32"/>
        </w:rPr>
        <w:t>第二章</w:t>
      </w:r>
      <w:r>
        <w:rPr>
          <w:rFonts w:hint="eastAsia" w:ascii="Times New Roman" w:hAnsi="Times New Roman" w:eastAsia="方正黑体_GBK" w:cs="Times New Roman"/>
          <w:color w:val="auto"/>
          <w:sz w:val="32"/>
          <w:szCs w:val="32"/>
          <w:lang w:val="en-US" w:eastAsia="zh-CN"/>
        </w:rPr>
        <w:t xml:space="preserve">  </w:t>
      </w:r>
      <w:r>
        <w:rPr>
          <w:rFonts w:hint="eastAsia" w:ascii="Times New Roman" w:hAnsi="Times New Roman" w:eastAsia="方正黑体_GBK" w:cs="Times New Roman"/>
          <w:color w:val="auto"/>
          <w:sz w:val="32"/>
          <w:szCs w:val="32"/>
          <w:lang w:eastAsia="zh-CN"/>
        </w:rPr>
        <w:t>职责分工</w:t>
      </w:r>
    </w:p>
    <w:p w14:paraId="5D59E3BE">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第四条  区财政局职责：</w:t>
      </w:r>
    </w:p>
    <w:p w14:paraId="6788D5F8">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（一）负责专项资金预算下达、调剂；</w:t>
      </w:r>
    </w:p>
    <w:p w14:paraId="3EB1A7A8">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（二）审核</w:t>
      </w:r>
      <w:r>
        <w:rPr>
          <w:rFonts w:hint="eastAsia" w:ascii="方正仿宋_GBK" w:hAnsi="方正仿宋_GBK" w:eastAsia="方正仿宋_GBK" w:cs="方正仿宋_GBK"/>
          <w:color w:val="000000"/>
          <w:highlight w:val="none"/>
          <w:lang w:eastAsia="zh-CN"/>
        </w:rPr>
        <w:t>专项资金预算追加（减）调整、调剂申请；</w:t>
      </w:r>
    </w:p>
    <w:p w14:paraId="70AE8299">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（三）组织开展重点专项资金项目绩效评价；</w:t>
      </w:r>
    </w:p>
    <w:p w14:paraId="79B47585">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（四）组织实施绩效管理和财会监督等。</w:t>
      </w:r>
    </w:p>
    <w:p w14:paraId="2DC546A9">
      <w:pPr>
        <w:widowControl w:val="0"/>
        <w:wordWrap/>
        <w:spacing w:line="558" w:lineRule="exact"/>
        <w:ind w:firstLine="64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第五条</w:t>
      </w:r>
      <w:r>
        <w:rPr>
          <w:rFonts w:hint="eastAsia" w:ascii="方正仿宋_GBK" w:hAnsi="方正仿宋_GBK" w:eastAsia="方正仿宋_GBK" w:cs="方正仿宋_GBK"/>
          <w:color w:val="auto"/>
          <w:highlight w:val="none"/>
          <w:lang w:val="en-US" w:eastAsia="zh-CN"/>
        </w:rPr>
        <w:t xml:space="preserve"> </w:t>
      </w:r>
      <w:r>
        <w:rPr>
          <w:rFonts w:hint="eastAsia" w:ascii="方正仿宋_GBK" w:hAnsi="方正仿宋_GBK" w:eastAsia="方正仿宋_GBK" w:cs="方正仿宋_GBK"/>
          <w:color w:val="auto"/>
          <w:highlight w:val="none"/>
          <w:lang w:eastAsia="zh-CN"/>
        </w:rPr>
        <w:t>锦江区市场监督管理局（以下简称“区市场监管局”）职责：</w:t>
      </w:r>
    </w:p>
    <w:p w14:paraId="6A459D42">
      <w:pPr>
        <w:widowControl w:val="0"/>
        <w:numPr>
          <w:ilvl w:val="0"/>
          <w:numId w:val="1"/>
        </w:numPr>
        <w:wordWrap/>
        <w:spacing w:line="558" w:lineRule="exact"/>
        <w:ind w:firstLine="640" w:firstLineChars="20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负责制定专项资金管理办法；</w:t>
      </w:r>
    </w:p>
    <w:p w14:paraId="4A61948A">
      <w:pPr>
        <w:widowControl w:val="0"/>
        <w:numPr>
          <w:ilvl w:val="0"/>
          <w:numId w:val="1"/>
        </w:numPr>
        <w:wordWrap/>
        <w:spacing w:line="558" w:lineRule="exact"/>
        <w:ind w:firstLine="640" w:firstLineChars="20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auto"/>
          <w:highlight w:val="none"/>
          <w:lang w:eastAsia="zh-CN"/>
        </w:rPr>
        <w:t>按照区级财政部门预算的编制要求、程序，编制专项资金年度预算；</w:t>
      </w:r>
    </w:p>
    <w:p w14:paraId="3247D0DF">
      <w:pPr>
        <w:widowControl w:val="0"/>
        <w:numPr>
          <w:ilvl w:val="0"/>
          <w:numId w:val="1"/>
        </w:numPr>
        <w:wordWrap/>
        <w:spacing w:line="558" w:lineRule="exact"/>
        <w:ind w:firstLine="640" w:firstLineChars="200"/>
        <w:textAlignment w:val="auto"/>
        <w:rPr>
          <w:rFonts w:hint="eastAsia" w:ascii="方正仿宋_GBK" w:hAnsi="方正仿宋_GBK" w:eastAsia="方正仿宋_GBK" w:cs="方正仿宋_GBK"/>
          <w:color w:val="auto"/>
          <w:highlight w:val="none"/>
          <w:lang w:eastAsia="zh-CN"/>
        </w:rPr>
      </w:pPr>
      <w:r>
        <w:rPr>
          <w:rFonts w:hint="eastAsia" w:ascii="方正仿宋_GBK" w:hAnsi="方正仿宋_GBK" w:eastAsia="方正仿宋_GBK" w:cs="方正仿宋_GBK"/>
          <w:color w:val="000000"/>
          <w:highlight w:val="none"/>
          <w:lang w:eastAsia="zh-CN"/>
        </w:rPr>
        <w:t>提出专项资金预算追加（减）调整、调剂申请；</w:t>
      </w:r>
    </w:p>
    <w:p w14:paraId="1BE1DEC5">
      <w:pPr>
        <w:widowControl w:val="0"/>
        <w:wordWrap/>
        <w:spacing w:line="558" w:lineRule="exact"/>
        <w:ind w:firstLine="64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（四）组织开展专项资金预算绩效管理工作等。</w:t>
      </w:r>
    </w:p>
    <w:p w14:paraId="16F1C3A6">
      <w:pPr>
        <w:widowControl w:val="0"/>
        <w:wordWrap/>
        <w:spacing w:line="558" w:lineRule="exact"/>
        <w:ind w:firstLine="640" w:firstLineChars="200"/>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第六条  资金使用单位职责：</w:t>
      </w:r>
    </w:p>
    <w:p w14:paraId="26AA55F7">
      <w:pPr>
        <w:widowControl w:val="0"/>
        <w:wordWrap/>
        <w:spacing w:line="558" w:lineRule="exact"/>
        <w:ind w:firstLine="64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kern w:val="2"/>
          <w:sz w:val="32"/>
          <w:szCs w:val="32"/>
          <w:highlight w:val="none"/>
          <w:lang w:val="en-US" w:eastAsia="zh-CN" w:bidi="ar-SA"/>
        </w:rPr>
        <w:t>（一）负责</w:t>
      </w:r>
      <w:r>
        <w:rPr>
          <w:rFonts w:hint="eastAsia" w:ascii="方正仿宋_GBK" w:hAnsi="方正仿宋_GBK" w:eastAsia="方正仿宋_GBK" w:cs="方正仿宋_GBK"/>
          <w:color w:val="auto"/>
          <w:highlight w:val="none"/>
          <w:lang w:val="en-US" w:eastAsia="zh-CN"/>
        </w:rPr>
        <w:t>专项资金项目申报；</w:t>
      </w:r>
    </w:p>
    <w:p w14:paraId="65B8985E">
      <w:pPr>
        <w:widowControl w:val="0"/>
        <w:wordWrap/>
        <w:spacing w:line="558" w:lineRule="exact"/>
        <w:ind w:firstLine="640"/>
        <w:textAlignment w:val="auto"/>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（二）对申报单位的申报材料进行审核；</w:t>
      </w:r>
    </w:p>
    <w:p w14:paraId="7B804F1D">
      <w:pPr>
        <w:widowControl w:val="0"/>
        <w:wordWrap/>
        <w:spacing w:line="558" w:lineRule="exact"/>
        <w:ind w:firstLine="64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000000"/>
          <w:highlight w:val="none"/>
          <w:lang w:eastAsia="zh-CN"/>
        </w:rPr>
        <w:t>（三）负责</w:t>
      </w:r>
      <w:r>
        <w:rPr>
          <w:rFonts w:hint="eastAsia" w:ascii="方正仿宋_GBK" w:hAnsi="方正仿宋_GBK" w:eastAsia="方正仿宋_GBK" w:cs="方正仿宋_GBK"/>
          <w:color w:val="auto"/>
          <w:highlight w:val="none"/>
          <w:lang w:val="en-US" w:eastAsia="zh-CN"/>
        </w:rPr>
        <w:t>专项资金兑付工作；</w:t>
      </w:r>
    </w:p>
    <w:p w14:paraId="7DF7C59A">
      <w:pPr>
        <w:widowControl w:val="0"/>
        <w:wordWrap/>
        <w:spacing w:line="558" w:lineRule="exact"/>
        <w:ind w:firstLine="640"/>
        <w:textAlignment w:val="auto"/>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（四）开展项目绩效运行监控、绩效自评工作等；</w:t>
      </w:r>
    </w:p>
    <w:p w14:paraId="77BA24E9">
      <w:pPr>
        <w:widowControl w:val="0"/>
        <w:wordWrap/>
        <w:adjustRightInd/>
        <w:snapToGrid/>
        <w:spacing w:line="558" w:lineRule="exact"/>
        <w:jc w:val="center"/>
        <w:textAlignment w:val="auto"/>
        <w:outlineLvl w:val="0"/>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rPr>
        <w:t>第</w:t>
      </w:r>
      <w:r>
        <w:rPr>
          <w:rFonts w:hint="eastAsia" w:eastAsia="方正黑体_GBK" w:cs="Times New Roman"/>
          <w:color w:val="auto"/>
          <w:sz w:val="32"/>
          <w:szCs w:val="32"/>
          <w:lang w:eastAsia="zh-CN"/>
        </w:rPr>
        <w:t>三</w:t>
      </w:r>
      <w:r>
        <w:rPr>
          <w:rFonts w:hint="eastAsia" w:ascii="Times New Roman" w:hAnsi="Times New Roman" w:eastAsia="方正黑体_GBK" w:cs="Times New Roman"/>
          <w:color w:val="auto"/>
          <w:sz w:val="32"/>
          <w:szCs w:val="32"/>
        </w:rPr>
        <w:t>章</w:t>
      </w:r>
      <w:r>
        <w:rPr>
          <w:rFonts w:hint="eastAsia" w:ascii="Times New Roman" w:hAnsi="Times New Roman" w:eastAsia="方正黑体_GBK" w:cs="Times New Roman"/>
          <w:color w:val="auto"/>
          <w:sz w:val="32"/>
          <w:szCs w:val="32"/>
          <w:lang w:val="en-US" w:eastAsia="zh-CN"/>
        </w:rPr>
        <w:t xml:space="preserve">  </w:t>
      </w:r>
      <w:r>
        <w:rPr>
          <w:rFonts w:hint="eastAsia" w:eastAsia="方正黑体_GBK" w:cs="Times New Roman"/>
          <w:color w:val="auto"/>
          <w:sz w:val="32"/>
          <w:szCs w:val="32"/>
          <w:lang w:val="en-US" w:eastAsia="zh-CN"/>
        </w:rPr>
        <w:t>资金使用范围</w:t>
      </w:r>
    </w:p>
    <w:p w14:paraId="39D85089">
      <w:pPr>
        <w:pStyle w:val="2"/>
        <w:widowControl w:val="0"/>
        <w:wordWrap/>
        <w:adjustRightInd w:val="0"/>
        <w:snapToGrid w:val="0"/>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 xml:space="preserve">第七条 </w:t>
      </w:r>
      <w:r>
        <w:rPr>
          <w:rFonts w:hint="eastAsia" w:ascii="方正仿宋_GBK" w:hAnsi="方正仿宋_GBK" w:eastAsia="方正仿宋_GBK" w:cs="方正仿宋_GBK"/>
          <w:kern w:val="2"/>
          <w:sz w:val="32"/>
          <w:szCs w:val="32"/>
          <w:lang w:val="en-US" w:eastAsia="zh-CN" w:bidi="ar-SA"/>
        </w:rPr>
        <w:t>专项资金使用范围</w:t>
      </w:r>
    </w:p>
    <w:p w14:paraId="583353DD">
      <w:pPr>
        <w:pStyle w:val="2"/>
        <w:widowControl w:val="0"/>
        <w:wordWrap/>
        <w:adjustRightInd w:val="0"/>
        <w:snapToGrid w:val="0"/>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一）促进知识产权创造、运用和保护。用于对新获得中国专利（外观设计）奖的专利权人，获得四川省、成都市知识产权质押融资资助，承担成都市专利导航项目、获评成都市高价值专利培育中心及企事业单位开展知识产权维权行动给予的资助。</w:t>
      </w:r>
    </w:p>
    <w:p w14:paraId="002044EE">
      <w:pPr>
        <w:pStyle w:val="2"/>
        <w:widowControl w:val="0"/>
        <w:wordWrap/>
        <w:adjustRightInd w:val="0"/>
        <w:snapToGrid w:val="0"/>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二）支持质量基础能力提升。用于对主导制（修）订国际、国家、行业、地方标准并获准颁布实施，开展国家级、省级标准化试点示范并验收合格，新获得国家级、省级、市级政府质量奖大奖及首次获得提名奖的机构给予的奖励。</w:t>
      </w:r>
    </w:p>
    <w:p w14:paraId="55C1C460">
      <w:pPr>
        <w:pStyle w:val="2"/>
        <w:widowControl w:val="0"/>
        <w:wordWrap/>
        <w:adjustRightInd w:val="0"/>
        <w:snapToGrid w:val="0"/>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（三）鼓励个体工商户“个转企”。用于对符合条件的“个转企”企业给予的奖励。</w:t>
      </w:r>
    </w:p>
    <w:p w14:paraId="15F12DFF">
      <w:pPr>
        <w:widowControl w:val="0"/>
        <w:wordWrap/>
        <w:spacing w:line="558" w:lineRule="exact"/>
        <w:ind w:firstLine="640"/>
        <w:textAlignment w:val="auto"/>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kern w:val="2"/>
          <w:sz w:val="32"/>
          <w:szCs w:val="32"/>
          <w:lang w:val="en-US" w:eastAsia="zh-CN" w:bidi="ar-SA"/>
        </w:rPr>
        <w:t>第八条 专项资金不得列支日常公用经费、聘用人员经费、其他工资福利费等一般性支出，不得列支与项目无关的其他辅助经费。</w:t>
      </w:r>
    </w:p>
    <w:p w14:paraId="421D89E4">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lang w:eastAsia="zh-CN"/>
        </w:rPr>
      </w:pPr>
      <w:r>
        <w:rPr>
          <w:rFonts w:hint="eastAsia" w:ascii="Times New Roman" w:hAnsi="Times New Roman" w:eastAsia="方正黑体_GBK" w:cs="Times New Roman"/>
          <w:color w:val="auto"/>
          <w:sz w:val="32"/>
          <w:szCs w:val="32"/>
        </w:rPr>
        <w:t>第</w:t>
      </w:r>
      <w:r>
        <w:rPr>
          <w:rFonts w:hint="eastAsia" w:eastAsia="方正黑体_GBK" w:cs="Times New Roman"/>
          <w:color w:val="auto"/>
          <w:sz w:val="32"/>
          <w:szCs w:val="32"/>
          <w:lang w:eastAsia="zh-CN"/>
        </w:rPr>
        <w:t>四</w:t>
      </w:r>
      <w:r>
        <w:rPr>
          <w:rFonts w:hint="eastAsia" w:ascii="Times New Roman" w:hAnsi="Times New Roman" w:eastAsia="方正黑体_GBK" w:cs="Times New Roman"/>
          <w:color w:val="auto"/>
          <w:sz w:val="32"/>
          <w:szCs w:val="32"/>
        </w:rPr>
        <w:t xml:space="preserve">章  </w:t>
      </w:r>
      <w:r>
        <w:rPr>
          <w:rFonts w:hint="eastAsia" w:eastAsia="方正黑体_GBK" w:cs="Times New Roman"/>
          <w:color w:val="auto"/>
          <w:sz w:val="32"/>
          <w:szCs w:val="32"/>
          <w:lang w:eastAsia="zh-CN"/>
        </w:rPr>
        <w:t>分配下达</w:t>
      </w:r>
    </w:p>
    <w:p w14:paraId="467DE62A">
      <w:pPr>
        <w:pStyle w:val="2"/>
        <w:widowControl w:val="0"/>
        <w:wordWrap/>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第九条 专项资金</w:t>
      </w:r>
      <w:r>
        <w:rPr>
          <w:rFonts w:hint="eastAsia" w:ascii="方正仿宋_GBK" w:hAnsi="方正仿宋_GBK" w:eastAsia="方正仿宋_GBK" w:cs="方正仿宋_GBK"/>
          <w:color w:val="auto"/>
          <w:kern w:val="2"/>
          <w:sz w:val="32"/>
          <w:szCs w:val="32"/>
          <w:lang w:val="en-US" w:eastAsia="zh-CN" w:bidi="ar-SA"/>
        </w:rPr>
        <w:t>采用按标准据实分配，按照产</w:t>
      </w:r>
      <w:r>
        <w:rPr>
          <w:rFonts w:hint="eastAsia" w:ascii="方正仿宋_GBK" w:hAnsi="方正仿宋_GBK" w:eastAsia="方正仿宋_GBK" w:cs="方正仿宋_GBK"/>
          <w:kern w:val="2"/>
          <w:sz w:val="32"/>
          <w:szCs w:val="32"/>
          <w:lang w:val="en-US" w:eastAsia="zh-CN" w:bidi="ar-SA"/>
        </w:rPr>
        <w:t>业发展政策规定的补助范围和补助标准，据实予以补助的分配方法。</w:t>
      </w:r>
    </w:p>
    <w:p w14:paraId="2F7309A2">
      <w:pPr>
        <w:pStyle w:val="2"/>
        <w:widowControl w:val="0"/>
        <w:numPr>
          <w:ilvl w:val="0"/>
          <w:numId w:val="0"/>
        </w:numPr>
        <w:wordWrap/>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第十条 区市场监管局按照年度预算编制要求和程序，结合上一年度资金使用情况、年度区委、区政府工作重点、下一年度任务目标等，于每年10月前，根据产业发展政策支持范围，编制专项资金</w:t>
      </w:r>
      <w:r>
        <w:rPr>
          <w:rFonts w:hint="eastAsia" w:ascii="方正仿宋_GBK" w:hAnsi="方正仿宋_GBK" w:eastAsia="方正仿宋_GBK" w:cs="方正仿宋_GBK"/>
          <w:color w:val="000000"/>
          <w:kern w:val="0"/>
          <w:sz w:val="32"/>
          <w:szCs w:val="32"/>
        </w:rPr>
        <w:t>年度预算</w:t>
      </w:r>
      <w:r>
        <w:rPr>
          <w:rFonts w:hint="eastAsia" w:ascii="方正仿宋_GBK" w:hAnsi="方正仿宋_GBK" w:eastAsia="方正仿宋_GBK" w:cs="方正仿宋_GBK"/>
          <w:kern w:val="2"/>
          <w:sz w:val="32"/>
          <w:szCs w:val="32"/>
          <w:lang w:val="en-US" w:eastAsia="zh-CN" w:bidi="ar-SA"/>
        </w:rPr>
        <w:t>，按照预算编制和审批流程，经集体决策后报区财政局审核。</w:t>
      </w:r>
    </w:p>
    <w:p w14:paraId="60E92E86">
      <w:pPr>
        <w:pStyle w:val="2"/>
        <w:widowControl w:val="0"/>
        <w:numPr>
          <w:ilvl w:val="0"/>
          <w:numId w:val="0"/>
        </w:numPr>
        <w:wordWrap/>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第十一条 资金分配流程</w:t>
      </w:r>
    </w:p>
    <w:p w14:paraId="418BC8A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558" w:lineRule="exact"/>
        <w:ind w:firstLine="640" w:firstLineChars="200"/>
        <w:jc w:val="left"/>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（一）促进知识产权创造、运用和保护和支持质量基础</w:t>
      </w:r>
      <w:r>
        <w:rPr>
          <w:rFonts w:hint="eastAsia" w:ascii="方正仿宋_GBK" w:hAnsi="方正仿宋_GBK" w:eastAsia="方正仿宋_GBK" w:cs="方正仿宋_GBK"/>
          <w:color w:val="auto"/>
          <w:kern w:val="2"/>
          <w:sz w:val="32"/>
          <w:szCs w:val="32"/>
          <w:lang w:val="en-US" w:eastAsia="zh-CN" w:bidi="ar-SA"/>
        </w:rPr>
        <w:t>能力提升专项资金</w:t>
      </w:r>
    </w:p>
    <w:p w14:paraId="3BABFF8E">
      <w:pPr>
        <w:widowControl w:val="0"/>
        <w:wordWrap/>
        <w:adjustRightInd/>
        <w:snapToGrid/>
        <w:spacing w:line="558" w:lineRule="exact"/>
        <w:ind w:firstLine="640" w:firstLineChars="200"/>
        <w:jc w:val="left"/>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每年9月底前，由区市场监管局组织开展项目申报工作，按规定发布申报工作相</w:t>
      </w:r>
      <w:r>
        <w:rPr>
          <w:rFonts w:hint="eastAsia" w:ascii="方正仿宋_GBK" w:hAnsi="方正仿宋_GBK" w:eastAsia="方正仿宋_GBK" w:cs="方正仿宋_GBK"/>
          <w:color w:val="auto"/>
          <w:kern w:val="2"/>
          <w:sz w:val="32"/>
          <w:szCs w:val="32"/>
          <w:lang w:val="en-US" w:eastAsia="zh-CN" w:bidi="ar-SA"/>
        </w:rPr>
        <w:t>关信息。符合条件的申报单位提出专项资金申请，由各街道办事处对申报企业的相关材料进行初审，区市场监管局复审。审核通过后，由区市场监管局汇总提出资金分配申请，经集体决策后完成资金分配。</w:t>
      </w:r>
    </w:p>
    <w:p w14:paraId="5D9FCCFF">
      <w:pPr>
        <w:widowControl w:val="0"/>
        <w:numPr>
          <w:ilvl w:val="0"/>
          <w:numId w:val="2"/>
        </w:numPr>
        <w:wordWrap/>
        <w:adjustRightInd/>
        <w:snapToGrid/>
        <w:spacing w:line="558" w:lineRule="exact"/>
        <w:ind w:firstLine="640" w:firstLineChars="200"/>
        <w:jc w:val="left"/>
        <w:textAlignment w:val="auto"/>
        <w:rPr>
          <w:rFonts w:hint="eastAsia" w:ascii="方正仿宋_GBK" w:hAnsi="方正仿宋_GBK" w:eastAsia="方正仿宋_GBK" w:cs="方正仿宋_GBK"/>
          <w:color w:val="auto"/>
          <w:lang w:eastAsia="zh-CN"/>
        </w:rPr>
      </w:pPr>
      <w:r>
        <w:rPr>
          <w:rFonts w:hint="eastAsia" w:ascii="方正仿宋_GBK" w:hAnsi="方正仿宋_GBK" w:eastAsia="方正仿宋_GBK" w:cs="方正仿宋_GBK"/>
          <w:color w:val="auto"/>
          <w:lang w:eastAsia="zh-CN"/>
        </w:rPr>
        <w:t>鼓励个体工商户“个转企”专项资金</w:t>
      </w:r>
    </w:p>
    <w:p w14:paraId="76A4123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每年7月，区市场监管局初筛出符合条件的企业名单发各街道办事处，并向区财政局报送专项资金分配调剂方案，由区财政局审核后按照预算调剂方式分配专项资金至各街道办事处。</w:t>
      </w:r>
      <w:r>
        <w:rPr>
          <w:rFonts w:hint="eastAsia" w:ascii="方正仿宋_GBK" w:hAnsi="方正仿宋_GBK" w:eastAsia="方正仿宋_GBK" w:cs="方正仿宋_GBK"/>
          <w:color w:val="auto"/>
          <w:sz w:val="32"/>
          <w:szCs w:val="32"/>
          <w:lang w:val="en-US" w:eastAsia="zh-CN"/>
        </w:rPr>
        <w:t>各街道办事处在收到企业名单后进行核查并收集相关信息，在专项资金到位后及时完成资金兑付，并将完成兑付的企业名单报区市场监管局。</w:t>
      </w:r>
    </w:p>
    <w:p w14:paraId="30E454DC">
      <w:pPr>
        <w:pStyle w:val="2"/>
        <w:widowControl w:val="0"/>
        <w:wordWrap/>
        <w:spacing w:line="558" w:lineRule="exact"/>
        <w:ind w:firstLine="641"/>
        <w:jc w:val="both"/>
        <w:textAlignment w:val="auto"/>
        <w:rPr>
          <w:rFonts w:hint="default" w:ascii="Times New Roman" w:eastAsia="仿宋" w:cs="Times New Roman"/>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第十二条 经批准的专项资金预算原则上不作调整，执行中确需调整预算规模的，由区市场监管局按预算调整程序规定报区财政局审批。</w:t>
      </w:r>
    </w:p>
    <w:p w14:paraId="624192F9">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lang w:eastAsia="zh-CN"/>
        </w:rPr>
      </w:pPr>
      <w:r>
        <w:rPr>
          <w:rFonts w:hint="eastAsia" w:ascii="Times New Roman" w:hAnsi="Times New Roman" w:eastAsia="方正黑体_GBK" w:cs="Times New Roman"/>
          <w:color w:val="auto"/>
          <w:sz w:val="32"/>
          <w:szCs w:val="32"/>
        </w:rPr>
        <w:t>第</w:t>
      </w:r>
      <w:r>
        <w:rPr>
          <w:rFonts w:hint="eastAsia" w:eastAsia="方正黑体_GBK" w:cs="Times New Roman"/>
          <w:color w:val="auto"/>
          <w:sz w:val="32"/>
          <w:szCs w:val="32"/>
          <w:lang w:eastAsia="zh-CN"/>
        </w:rPr>
        <w:t>五</w:t>
      </w:r>
      <w:r>
        <w:rPr>
          <w:rFonts w:hint="eastAsia" w:ascii="Times New Roman" w:hAnsi="Times New Roman" w:eastAsia="方正黑体_GBK" w:cs="Times New Roman"/>
          <w:color w:val="auto"/>
          <w:sz w:val="32"/>
          <w:szCs w:val="32"/>
        </w:rPr>
        <w:t>章  资金</w:t>
      </w:r>
      <w:r>
        <w:rPr>
          <w:rFonts w:hint="eastAsia" w:eastAsia="方正黑体_GBK" w:cs="Times New Roman"/>
          <w:color w:val="auto"/>
          <w:sz w:val="32"/>
          <w:szCs w:val="32"/>
          <w:lang w:eastAsia="zh-CN"/>
        </w:rPr>
        <w:t>管理</w:t>
      </w:r>
    </w:p>
    <w:p w14:paraId="568B4311">
      <w:pPr>
        <w:widowControl w:val="0"/>
        <w:wordWrap/>
        <w:spacing w:line="558" w:lineRule="exact"/>
        <w:ind w:firstLine="64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rPr>
        <w:t>第</w:t>
      </w:r>
      <w:r>
        <w:rPr>
          <w:rFonts w:hint="eastAsia" w:ascii="方正仿宋_GBK" w:hAnsi="方正仿宋_GBK" w:eastAsia="方正仿宋_GBK" w:cs="方正仿宋_GBK"/>
          <w:lang w:eastAsia="zh-CN"/>
        </w:rPr>
        <w:t>十三</w:t>
      </w:r>
      <w:r>
        <w:rPr>
          <w:rFonts w:hint="eastAsia" w:ascii="方正仿宋_GBK" w:hAnsi="方正仿宋_GBK" w:eastAsia="方正仿宋_GBK" w:cs="方正仿宋_GBK"/>
        </w:rPr>
        <w:t xml:space="preserve">条 </w:t>
      </w:r>
      <w:r>
        <w:rPr>
          <w:rFonts w:hint="eastAsia" w:ascii="方正仿宋_GBK" w:hAnsi="方正仿宋_GBK" w:eastAsia="方正仿宋_GBK" w:cs="方正仿宋_GBK"/>
          <w:lang w:eastAsia="zh-CN"/>
        </w:rPr>
        <w:t>专项资金使用应当严格按照批准的项目预算执行，实行专项管理、单独核算，严格按规定用途使用，未经批</w:t>
      </w:r>
      <w:r>
        <w:rPr>
          <w:rFonts w:hint="eastAsia" w:ascii="方正仿宋_GBK" w:hAnsi="方正仿宋_GBK" w:eastAsia="方正仿宋_GBK" w:cs="方正仿宋_GBK"/>
          <w:kern w:val="2"/>
          <w:sz w:val="32"/>
          <w:szCs w:val="32"/>
          <w:lang w:val="en-US" w:eastAsia="zh-CN" w:bidi="ar-SA"/>
        </w:rPr>
        <w:t>准不得变更项目内容。任何单位和个人不得以任何理由和方式截留、挤占和挪用。</w:t>
      </w:r>
    </w:p>
    <w:p w14:paraId="1F11160F">
      <w:pPr>
        <w:pStyle w:val="2"/>
        <w:widowControl w:val="0"/>
        <w:wordWrap/>
        <w:spacing w:line="558" w:lineRule="exact"/>
        <w:ind w:firstLine="640" w:firstLineChars="200"/>
        <w:jc w:val="both"/>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第十四条 专项资金支付严格执行国库集中支付制度。涉及政府采购的，按照政府采购相关规定执行；形成固定资产及无形资产的，按照国有资产有关管理规定执行。</w:t>
      </w:r>
    </w:p>
    <w:p w14:paraId="0539CC17">
      <w:pPr>
        <w:pStyle w:val="2"/>
        <w:widowControl w:val="0"/>
        <w:numPr>
          <w:ilvl w:val="0"/>
          <w:numId w:val="3"/>
        </w:numPr>
        <w:wordWrap/>
        <w:spacing w:line="558"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auto"/>
          <w:kern w:val="2"/>
          <w:sz w:val="32"/>
          <w:szCs w:val="32"/>
          <w:lang w:val="en-US" w:eastAsia="zh-CN" w:bidi="ar-SA"/>
        </w:rPr>
        <w:t>当年未支出的专项资金预算，按财政部门结</w:t>
      </w:r>
      <w:r>
        <w:rPr>
          <w:rFonts w:hint="eastAsia" w:ascii="方正仿宋_GBK" w:hAnsi="方正仿宋_GBK" w:eastAsia="方正仿宋_GBK" w:cs="方正仿宋_GBK"/>
          <w:kern w:val="2"/>
          <w:sz w:val="32"/>
          <w:szCs w:val="32"/>
          <w:lang w:val="en-US" w:eastAsia="zh-CN" w:bidi="ar-SA"/>
        </w:rPr>
        <w:t>转结余管理有关规定处理。</w:t>
      </w:r>
    </w:p>
    <w:p w14:paraId="1DE550FA">
      <w:pPr>
        <w:widowControl w:val="0"/>
        <w:numPr>
          <w:ilvl w:val="0"/>
          <w:numId w:val="0"/>
        </w:numPr>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lang w:eastAsia="zh-CN"/>
        </w:rPr>
      </w:pPr>
      <w:r>
        <w:rPr>
          <w:rFonts w:hint="eastAsia" w:eastAsia="方正黑体_GBK" w:cs="Times New Roman"/>
          <w:color w:val="auto"/>
          <w:sz w:val="32"/>
          <w:szCs w:val="32"/>
          <w:lang w:eastAsia="zh-CN"/>
        </w:rPr>
        <w:t>第六章</w:t>
      </w:r>
      <w:r>
        <w:rPr>
          <w:rFonts w:hint="eastAsia" w:eastAsia="方正黑体_GBK" w:cs="Times New Roman"/>
          <w:color w:val="auto"/>
          <w:sz w:val="32"/>
          <w:szCs w:val="32"/>
          <w:lang w:val="en-US" w:eastAsia="zh-CN"/>
        </w:rPr>
        <w:t xml:space="preserve">  </w:t>
      </w:r>
      <w:r>
        <w:rPr>
          <w:rFonts w:hint="eastAsia" w:ascii="Times New Roman" w:hAnsi="Times New Roman" w:eastAsia="方正黑体_GBK" w:cs="Times New Roman"/>
          <w:color w:val="auto"/>
          <w:sz w:val="32"/>
          <w:szCs w:val="32"/>
          <w:lang w:eastAsia="zh-CN"/>
        </w:rPr>
        <w:t>绩效管理</w:t>
      </w:r>
    </w:p>
    <w:p w14:paraId="204D88F5">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highlight w:val="none"/>
        </w:rPr>
        <w:t>第十</w:t>
      </w:r>
      <w:r>
        <w:rPr>
          <w:rFonts w:hint="eastAsia" w:ascii="方正仿宋_GBK" w:hAnsi="方正仿宋_GBK" w:eastAsia="方正仿宋_GBK" w:cs="方正仿宋_GBK"/>
          <w:highlight w:val="none"/>
          <w:lang w:eastAsia="zh-CN"/>
        </w:rPr>
        <w:t>六</w:t>
      </w:r>
      <w:r>
        <w:rPr>
          <w:rFonts w:hint="eastAsia" w:ascii="方正仿宋_GBK" w:hAnsi="方正仿宋_GBK" w:eastAsia="方正仿宋_GBK" w:cs="方正仿宋_GBK"/>
          <w:highlight w:val="none"/>
        </w:rPr>
        <w:t xml:space="preserve">条 </w:t>
      </w:r>
      <w:r>
        <w:rPr>
          <w:rFonts w:hint="eastAsia" w:ascii="方正仿宋_GBK" w:hAnsi="方正仿宋_GBK" w:eastAsia="方正仿宋_GBK" w:cs="方正仿宋_GBK"/>
          <w:color w:val="auto"/>
          <w:sz w:val="32"/>
          <w:szCs w:val="32"/>
          <w:highlight w:val="none"/>
          <w:lang w:val="en-US" w:eastAsia="zh-CN"/>
        </w:rPr>
        <w:t>区市场监管局负责对</w:t>
      </w:r>
      <w:r>
        <w:rPr>
          <w:rFonts w:hint="eastAsia" w:ascii="方正仿宋_GBK" w:hAnsi="方正仿宋_GBK" w:eastAsia="方正仿宋_GBK" w:cs="方正仿宋_GBK"/>
          <w:color w:val="auto"/>
          <w:sz w:val="32"/>
          <w:szCs w:val="32"/>
          <w:highlight w:val="none"/>
        </w:rPr>
        <w:t>专项资金实施全过程预算绩效管理</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科学合理设定专项资金整体绩效目标</w:t>
      </w:r>
      <w:r>
        <w:rPr>
          <w:rFonts w:hint="eastAsia" w:ascii="方正仿宋_GBK" w:hAnsi="方正仿宋_GBK" w:eastAsia="方正仿宋_GBK" w:cs="方正仿宋_GBK"/>
          <w:color w:val="auto"/>
          <w:sz w:val="32"/>
          <w:szCs w:val="32"/>
          <w:highlight w:val="none"/>
          <w:lang w:eastAsia="zh-CN"/>
        </w:rPr>
        <w:t>，并及时向区财政局报送绩效目标申报表等材料；做好项目绩效运行监控，对</w:t>
      </w:r>
      <w:r>
        <w:rPr>
          <w:rFonts w:hint="eastAsia" w:ascii="方正仿宋_GBK" w:hAnsi="方正仿宋_GBK" w:eastAsia="方正仿宋_GBK" w:cs="方正仿宋_GBK"/>
          <w:color w:val="auto"/>
          <w:sz w:val="32"/>
          <w:szCs w:val="32"/>
          <w:highlight w:val="none"/>
        </w:rPr>
        <w:t>绩效目标实现程度和预算执行进度</w:t>
      </w:r>
      <w:r>
        <w:rPr>
          <w:rFonts w:hint="eastAsia" w:ascii="方正仿宋_GBK" w:hAnsi="方正仿宋_GBK" w:eastAsia="方正仿宋_GBK" w:cs="方正仿宋_GBK"/>
          <w:color w:val="auto"/>
          <w:sz w:val="32"/>
          <w:szCs w:val="32"/>
          <w:highlight w:val="none"/>
          <w:lang w:eastAsia="zh-CN"/>
        </w:rPr>
        <w:t>实现</w:t>
      </w:r>
      <w:r>
        <w:rPr>
          <w:rFonts w:hint="eastAsia" w:ascii="方正仿宋_GBK" w:hAnsi="方正仿宋_GBK" w:eastAsia="方正仿宋_GBK" w:cs="方正仿宋_GBK"/>
          <w:color w:val="auto"/>
          <w:sz w:val="32"/>
          <w:szCs w:val="32"/>
          <w:highlight w:val="none"/>
        </w:rPr>
        <w:t>“双监控”</w:t>
      </w:r>
      <w:r>
        <w:rPr>
          <w:rFonts w:hint="eastAsia" w:ascii="方正仿宋_GBK" w:hAnsi="方正仿宋_GBK" w:eastAsia="方正仿宋_GBK" w:cs="方正仿宋_GBK"/>
          <w:color w:val="auto"/>
          <w:sz w:val="32"/>
          <w:szCs w:val="32"/>
          <w:highlight w:val="none"/>
          <w:lang w:eastAsia="zh-CN"/>
        </w:rPr>
        <w:t>；按</w:t>
      </w:r>
      <w:r>
        <w:rPr>
          <w:rFonts w:hint="eastAsia" w:ascii="方正仿宋_GBK" w:hAnsi="方正仿宋_GBK" w:eastAsia="方正仿宋_GBK" w:cs="方正仿宋_GBK"/>
          <w:color w:val="auto"/>
          <w:sz w:val="32"/>
          <w:szCs w:val="32"/>
          <w:highlight w:val="none"/>
        </w:rPr>
        <w:t>规定开展绩效</w:t>
      </w:r>
      <w:r>
        <w:rPr>
          <w:rFonts w:hint="eastAsia" w:ascii="方正仿宋_GBK" w:hAnsi="方正仿宋_GBK" w:eastAsia="方正仿宋_GBK" w:cs="方正仿宋_GBK"/>
          <w:color w:val="auto"/>
          <w:sz w:val="32"/>
          <w:szCs w:val="32"/>
          <w:highlight w:val="none"/>
          <w:lang w:eastAsia="zh-CN"/>
        </w:rPr>
        <w:t>评估和自评</w:t>
      </w:r>
      <w:r>
        <w:rPr>
          <w:rFonts w:hint="eastAsia" w:ascii="方正仿宋_GBK" w:hAnsi="方正仿宋_GBK" w:eastAsia="方正仿宋_GBK" w:cs="方正仿宋_GBK"/>
          <w:color w:val="auto"/>
          <w:sz w:val="32"/>
          <w:szCs w:val="32"/>
          <w:highlight w:val="none"/>
        </w:rPr>
        <w:t>，对照专项资金预算绩效目标检查资金的执行情况和使用效益，对发现的问题及时整改落实</w:t>
      </w:r>
      <w:r>
        <w:rPr>
          <w:rFonts w:hint="eastAsia" w:ascii="方正仿宋_GBK" w:hAnsi="方正仿宋_GBK" w:eastAsia="方正仿宋_GBK" w:cs="方正仿宋_GBK"/>
          <w:color w:val="auto"/>
          <w:sz w:val="32"/>
          <w:szCs w:val="32"/>
          <w:highlight w:val="none"/>
          <w:lang w:eastAsia="zh-CN"/>
        </w:rPr>
        <w:t>，配合区财政局开展重点专项资金项目支出绩效评价</w:t>
      </w:r>
      <w:r>
        <w:rPr>
          <w:rFonts w:hint="eastAsia" w:ascii="方正仿宋_GBK" w:hAnsi="方正仿宋_GBK" w:eastAsia="方正仿宋_GBK" w:cs="方正仿宋_GBK"/>
          <w:color w:val="auto"/>
          <w:sz w:val="32"/>
          <w:szCs w:val="32"/>
          <w:highlight w:val="none"/>
        </w:rPr>
        <w:t>。</w:t>
      </w:r>
    </w:p>
    <w:p w14:paraId="2557E41D">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第十七条</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eastAsia="zh-CN"/>
        </w:rPr>
        <w:t>资金使用单位</w:t>
      </w:r>
      <w:r>
        <w:rPr>
          <w:rFonts w:hint="eastAsia" w:ascii="方正仿宋_GBK" w:hAnsi="方正仿宋_GBK" w:eastAsia="方正仿宋_GBK" w:cs="方正仿宋_GBK"/>
          <w:sz w:val="32"/>
          <w:szCs w:val="32"/>
        </w:rPr>
        <w:t>在专项资金执行过程中，对项目绩效目标实现程度和预算执行进度</w:t>
      </w:r>
      <w:r>
        <w:rPr>
          <w:rFonts w:hint="eastAsia" w:ascii="方正仿宋_GBK" w:hAnsi="方正仿宋_GBK" w:eastAsia="方正仿宋_GBK" w:cs="方正仿宋_GBK"/>
          <w:sz w:val="32"/>
          <w:szCs w:val="32"/>
          <w:lang w:eastAsia="zh-CN"/>
        </w:rPr>
        <w:t>跟踪监控</w:t>
      </w:r>
      <w:r>
        <w:rPr>
          <w:rFonts w:hint="eastAsia" w:ascii="方正仿宋_GBK" w:hAnsi="方正仿宋_GBK" w:eastAsia="方正仿宋_GBK" w:cs="方正仿宋_GBK"/>
          <w:sz w:val="32"/>
          <w:szCs w:val="32"/>
        </w:rPr>
        <w:t>，对预算绩效目标偏离、无效或执行中存在问题的，及时予以纠正，提高专项</w:t>
      </w:r>
      <w:r>
        <w:rPr>
          <w:rFonts w:hint="eastAsia" w:ascii="方正仿宋_GBK" w:hAnsi="方正仿宋_GBK" w:eastAsia="方正仿宋_GBK" w:cs="方正仿宋_GBK"/>
          <w:sz w:val="32"/>
          <w:szCs w:val="32"/>
          <w:lang w:eastAsia="zh-CN"/>
        </w:rPr>
        <w:t>资金</w:t>
      </w:r>
      <w:r>
        <w:rPr>
          <w:rFonts w:hint="eastAsia" w:ascii="方正仿宋_GBK" w:hAnsi="方正仿宋_GBK" w:eastAsia="方正仿宋_GBK" w:cs="方正仿宋_GBK"/>
          <w:sz w:val="32"/>
          <w:szCs w:val="32"/>
        </w:rPr>
        <w:t>使用效益</w:t>
      </w:r>
      <w:r>
        <w:rPr>
          <w:rFonts w:hint="eastAsia" w:ascii="方正仿宋_GBK" w:hAnsi="方正仿宋_GBK" w:eastAsia="方正仿宋_GBK" w:cs="方正仿宋_GBK"/>
          <w:sz w:val="32"/>
          <w:szCs w:val="32"/>
          <w:lang w:eastAsia="zh-CN"/>
        </w:rPr>
        <w:t>；按规定开展绩效自评，对项目的资金使用情况、绩效目标实现程度、资金使用效益等进行绩效评价。</w:t>
      </w:r>
    </w:p>
    <w:p w14:paraId="3E3FFBD7">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第十八条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lang w:eastAsia="zh-CN"/>
        </w:rPr>
        <w:t>区财政局根据需要组织开展重点绩效评价</w:t>
      </w:r>
      <w:r>
        <w:rPr>
          <w:rFonts w:hint="eastAsia" w:ascii="方正仿宋_GBK" w:hAnsi="方正仿宋_GBK" w:eastAsia="方正仿宋_GBK" w:cs="方正仿宋_GBK"/>
          <w:sz w:val="32"/>
          <w:szCs w:val="32"/>
        </w:rPr>
        <w:t>，并将评价结果应用于专项评价资金的预算安排分配。</w:t>
      </w:r>
    </w:p>
    <w:p w14:paraId="246A8FDD">
      <w:pPr>
        <w:widowControl w:val="0"/>
        <w:wordWrap/>
        <w:adjustRightInd/>
        <w:snapToGrid/>
        <w:spacing w:line="558" w:lineRule="exact"/>
        <w:ind w:firstLine="640" w:firstLineChars="200"/>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rPr>
        <w:t>第</w:t>
      </w:r>
      <w:r>
        <w:rPr>
          <w:rFonts w:hint="eastAsia" w:ascii="方正仿宋_GBK" w:hAnsi="方正仿宋_GBK" w:eastAsia="方正仿宋_GBK" w:cs="方正仿宋_GBK"/>
          <w:lang w:eastAsia="zh-CN"/>
        </w:rPr>
        <w:t>十九</w:t>
      </w:r>
      <w:r>
        <w:rPr>
          <w:rFonts w:hint="eastAsia" w:ascii="方正仿宋_GBK" w:hAnsi="方正仿宋_GBK" w:eastAsia="方正仿宋_GBK" w:cs="方正仿宋_GBK"/>
        </w:rPr>
        <w:t>条</w:t>
      </w:r>
      <w:r>
        <w:rPr>
          <w:rFonts w:hint="eastAsia" w:ascii="方正仿宋_GBK" w:hAnsi="方正仿宋_GBK" w:eastAsia="方正仿宋_GBK" w:cs="方正仿宋_GBK"/>
          <w:lang w:val="en-US" w:eastAsia="zh-CN"/>
        </w:rPr>
        <w:t xml:space="preserve"> 专项资金绩效评价结果作为以后年度预算安排的参考依据。对资金损失浪费严重、绩效评价不达标的压缩或取消下年预算安排。</w:t>
      </w:r>
    </w:p>
    <w:p w14:paraId="0ABA61D3">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rPr>
        <w:t>第</w:t>
      </w:r>
      <w:r>
        <w:rPr>
          <w:rFonts w:hint="eastAsia" w:eastAsia="方正黑体_GBK" w:cs="Times New Roman"/>
          <w:color w:val="auto"/>
          <w:sz w:val="32"/>
          <w:szCs w:val="32"/>
          <w:lang w:eastAsia="zh-CN"/>
        </w:rPr>
        <w:t>七</w:t>
      </w:r>
      <w:r>
        <w:rPr>
          <w:rFonts w:hint="eastAsia" w:ascii="Times New Roman" w:hAnsi="Times New Roman" w:eastAsia="方正黑体_GBK" w:cs="Times New Roman"/>
          <w:color w:val="auto"/>
          <w:sz w:val="32"/>
          <w:szCs w:val="32"/>
        </w:rPr>
        <w:t>章  监督管理</w:t>
      </w:r>
    </w:p>
    <w:p w14:paraId="1577F74A">
      <w:pPr>
        <w:widowControl w:val="0"/>
        <w:wordWrap/>
        <w:spacing w:line="558" w:lineRule="exact"/>
        <w:textAlignment w:val="auto"/>
        <w:rPr>
          <w:rFonts w:hint="eastAsia" w:ascii="方正仿宋_GBK" w:hAnsi="方正仿宋_GBK" w:eastAsia="方正仿宋_GBK" w:cs="方正仿宋_GBK"/>
        </w:rPr>
      </w:pPr>
      <w:r>
        <w:rPr>
          <w:rFonts w:hint="eastAsia"/>
        </w:rPr>
        <w:t xml:space="preserve">    </w:t>
      </w:r>
      <w:r>
        <w:rPr>
          <w:rFonts w:hint="eastAsia" w:ascii="方正仿宋_GBK" w:hAnsi="方正仿宋_GBK" w:eastAsia="方正仿宋_GBK" w:cs="方正仿宋_GBK"/>
        </w:rPr>
        <w:t>第二十条 各</w:t>
      </w:r>
      <w:r>
        <w:rPr>
          <w:rFonts w:hint="eastAsia" w:ascii="方正仿宋_GBK" w:hAnsi="方正仿宋_GBK" w:eastAsia="方正仿宋_GBK" w:cs="方正仿宋_GBK"/>
          <w:lang w:eastAsia="zh-CN"/>
        </w:rPr>
        <w:t>部门</w:t>
      </w:r>
      <w:r>
        <w:rPr>
          <w:rFonts w:hint="eastAsia" w:ascii="方正仿宋_GBK" w:hAnsi="方正仿宋_GBK" w:eastAsia="方正仿宋_GBK" w:cs="方正仿宋_GBK"/>
        </w:rPr>
        <w:t>应当保证</w:t>
      </w:r>
      <w:r>
        <w:rPr>
          <w:rFonts w:hint="eastAsia" w:ascii="方正仿宋_GBK" w:hAnsi="方正仿宋_GBK" w:eastAsia="方正仿宋_GBK" w:cs="方正仿宋_GBK"/>
          <w:lang w:eastAsia="zh-CN"/>
        </w:rPr>
        <w:t>专项</w:t>
      </w:r>
      <w:r>
        <w:rPr>
          <w:rFonts w:hint="eastAsia" w:ascii="方正仿宋_GBK" w:hAnsi="方正仿宋_GBK" w:eastAsia="方正仿宋_GBK" w:cs="方正仿宋_GBK"/>
        </w:rPr>
        <w:t>资金使用的合法性、真实性和客观性，不得截留、挤占、挪用或擅自调整，主动接受有关部门和社会各界监督。</w:t>
      </w:r>
    </w:p>
    <w:p w14:paraId="44CDD92A">
      <w:pPr>
        <w:widowControl w:val="0"/>
        <w:wordWrap/>
        <w:spacing w:line="558" w:lineRule="exact"/>
        <w:ind w:firstLine="640"/>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第</w:t>
      </w: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rPr>
        <w:t>十</w:t>
      </w:r>
      <w:r>
        <w:rPr>
          <w:rFonts w:hint="eastAsia" w:ascii="方正仿宋_GBK" w:hAnsi="方正仿宋_GBK" w:eastAsia="方正仿宋_GBK" w:cs="方正仿宋_GBK"/>
          <w:lang w:eastAsia="zh-CN"/>
        </w:rPr>
        <w:t>一</w:t>
      </w:r>
      <w:r>
        <w:rPr>
          <w:rFonts w:hint="eastAsia" w:ascii="方正仿宋_GBK" w:hAnsi="方正仿宋_GBK" w:eastAsia="方正仿宋_GBK" w:cs="方正仿宋_GBK"/>
        </w:rPr>
        <w:t>条 各</w:t>
      </w:r>
      <w:r>
        <w:rPr>
          <w:rFonts w:hint="eastAsia" w:ascii="方正仿宋_GBK" w:hAnsi="方正仿宋_GBK" w:eastAsia="方正仿宋_GBK" w:cs="方正仿宋_GBK"/>
          <w:lang w:eastAsia="zh-CN"/>
        </w:rPr>
        <w:t>部门</w:t>
      </w:r>
      <w:r>
        <w:rPr>
          <w:rFonts w:hint="eastAsia" w:ascii="方正仿宋_GBK" w:hAnsi="方正仿宋_GBK" w:eastAsia="方正仿宋_GBK" w:cs="方正仿宋_GBK"/>
          <w:color w:val="auto"/>
        </w:rPr>
        <w:t>应当对</w:t>
      </w:r>
      <w:r>
        <w:rPr>
          <w:rFonts w:hint="eastAsia" w:ascii="方正仿宋_GBK" w:hAnsi="方正仿宋_GBK" w:eastAsia="方正仿宋_GBK" w:cs="方正仿宋_GBK"/>
          <w:color w:val="auto"/>
          <w:lang w:eastAsia="zh-CN"/>
        </w:rPr>
        <w:t>专项</w:t>
      </w:r>
      <w:r>
        <w:rPr>
          <w:rFonts w:hint="eastAsia" w:ascii="方正仿宋_GBK" w:hAnsi="方正仿宋_GBK" w:eastAsia="方正仿宋_GBK" w:cs="方正仿宋_GBK"/>
          <w:color w:val="auto"/>
        </w:rPr>
        <w:t>资金使用和项目实施进展情况进行日常监督管理，加强项目资料管理，及时发现和纠正问题，切实提高资金使用效益。</w:t>
      </w:r>
    </w:p>
    <w:p w14:paraId="2A569C42">
      <w:pPr>
        <w:widowControl w:val="0"/>
        <w:wordWrap/>
        <w:spacing w:line="558" w:lineRule="exact"/>
        <w:textAlignment w:val="auto"/>
        <w:rPr>
          <w:rFonts w:hint="eastAsia" w:ascii="方正仿宋_GBK" w:hAnsi="方正仿宋_GBK" w:eastAsia="方正仿宋_GBK" w:cs="方正仿宋_GBK"/>
          <w:color w:val="FF0000"/>
        </w:rPr>
      </w:pPr>
      <w:r>
        <w:rPr>
          <w:rFonts w:hint="eastAsia" w:ascii="方正仿宋_GBK" w:hAnsi="方正仿宋_GBK" w:eastAsia="方正仿宋_GBK" w:cs="方正仿宋_GBK"/>
        </w:rPr>
        <w:t xml:space="preserve">    </w:t>
      </w:r>
      <w:r>
        <w:rPr>
          <w:rFonts w:hint="eastAsia" w:ascii="方正仿宋_GBK" w:hAnsi="方正仿宋_GBK" w:eastAsia="方正仿宋_GBK" w:cs="方正仿宋_GBK"/>
          <w:sz w:val="32"/>
        </w:rPr>
        <w:t>第</w:t>
      </w: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rPr>
        <w:t>十</w:t>
      </w: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sz w:val="32"/>
        </w:rPr>
        <w:t>条</w:t>
      </w:r>
      <w:r>
        <w:rPr>
          <w:rFonts w:hint="eastAsia" w:ascii="方正仿宋_GBK" w:hAnsi="方正仿宋_GBK" w:eastAsia="方正仿宋_GBK" w:cs="方正仿宋_GBK"/>
        </w:rPr>
        <w:t xml:space="preserve"> 各</w:t>
      </w:r>
      <w:r>
        <w:rPr>
          <w:rFonts w:hint="eastAsia" w:ascii="方正仿宋_GBK" w:hAnsi="方正仿宋_GBK" w:eastAsia="方正仿宋_GBK" w:cs="方正仿宋_GBK"/>
          <w:lang w:eastAsia="zh-CN"/>
        </w:rPr>
        <w:t>部门</w:t>
      </w:r>
      <w:r>
        <w:rPr>
          <w:rFonts w:hint="eastAsia" w:ascii="方正仿宋_GBK" w:hAnsi="方正仿宋_GBK" w:eastAsia="方正仿宋_GBK" w:cs="方正仿宋_GBK"/>
        </w:rPr>
        <w:t>应积极配合审计部门对专项资金管理使用情况</w:t>
      </w:r>
      <w:r>
        <w:rPr>
          <w:rFonts w:hint="eastAsia" w:ascii="方正仿宋_GBK" w:hAnsi="方正仿宋_GBK" w:eastAsia="方正仿宋_GBK" w:cs="方正仿宋_GBK"/>
          <w:lang w:eastAsia="zh-CN"/>
        </w:rPr>
        <w:t>的</w:t>
      </w:r>
      <w:r>
        <w:rPr>
          <w:rFonts w:hint="eastAsia" w:ascii="方正仿宋_GBK" w:hAnsi="方正仿宋_GBK" w:eastAsia="方正仿宋_GBK" w:cs="方正仿宋_GBK"/>
        </w:rPr>
        <w:t>审计</w:t>
      </w:r>
      <w:r>
        <w:rPr>
          <w:rFonts w:hint="eastAsia" w:ascii="方正仿宋_GBK" w:hAnsi="方正仿宋_GBK" w:eastAsia="方正仿宋_GBK" w:cs="方正仿宋_GBK"/>
          <w:lang w:eastAsia="zh-CN"/>
        </w:rPr>
        <w:t>和</w:t>
      </w:r>
      <w:r>
        <w:rPr>
          <w:rFonts w:hint="eastAsia" w:ascii="方正仿宋_GBK" w:hAnsi="方正仿宋_GBK" w:eastAsia="方正仿宋_GBK" w:cs="方正仿宋_GBK"/>
        </w:rPr>
        <w:t>监督</w:t>
      </w:r>
      <w:r>
        <w:rPr>
          <w:rFonts w:hint="eastAsia" w:ascii="方正仿宋_GBK" w:hAnsi="方正仿宋_GBK" w:eastAsia="方正仿宋_GBK" w:cs="方正仿宋_GBK"/>
          <w:lang w:eastAsia="zh-CN"/>
        </w:rPr>
        <w:t>检查工作</w:t>
      </w:r>
      <w:r>
        <w:rPr>
          <w:rFonts w:hint="eastAsia" w:ascii="方正仿宋_GBK" w:hAnsi="方正仿宋_GBK" w:eastAsia="方正仿宋_GBK" w:cs="方正仿宋_GBK"/>
        </w:rPr>
        <w:t>。</w:t>
      </w:r>
    </w:p>
    <w:p w14:paraId="1D825FE0">
      <w:pPr>
        <w:widowControl w:val="0"/>
        <w:wordWrap/>
        <w:spacing w:line="558" w:lineRule="exact"/>
        <w:ind w:firstLine="64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sz w:val="32"/>
          <w:lang w:eastAsia="zh-CN"/>
        </w:rPr>
        <w:t>第二十三条</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kern w:val="2"/>
          <w:sz w:val="32"/>
          <w:szCs w:val="32"/>
          <w:lang w:val="en-US" w:eastAsia="zh-CN" w:bidi="ar-SA"/>
        </w:rPr>
        <w:t>各部门及个人在专项资金的管理使用过程中存在违规违纪违法行为的，依规依纪依法追究相关部门和单位人员责任。涉嫌犯罪的，移送司法机关处理。</w:t>
      </w:r>
    </w:p>
    <w:p w14:paraId="18A795B4">
      <w:pPr>
        <w:widowControl w:val="0"/>
        <w:wordWrap/>
        <w:adjustRightInd/>
        <w:snapToGrid/>
        <w:spacing w:line="558" w:lineRule="exact"/>
        <w:jc w:val="center"/>
        <w:textAlignment w:val="auto"/>
        <w:outlineLvl w:val="0"/>
        <w:rPr>
          <w:rFonts w:hint="eastAsia"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rPr>
        <w:t>第</w:t>
      </w:r>
      <w:r>
        <w:rPr>
          <w:rFonts w:hint="eastAsia" w:eastAsia="方正黑体_GBK" w:cs="Times New Roman"/>
          <w:color w:val="auto"/>
          <w:sz w:val="32"/>
          <w:szCs w:val="32"/>
          <w:lang w:eastAsia="zh-CN"/>
        </w:rPr>
        <w:t>八</w:t>
      </w:r>
      <w:r>
        <w:rPr>
          <w:rFonts w:hint="eastAsia" w:ascii="Times New Roman" w:hAnsi="Times New Roman" w:eastAsia="方正黑体_GBK" w:cs="Times New Roman"/>
          <w:color w:val="auto"/>
          <w:sz w:val="32"/>
          <w:szCs w:val="32"/>
        </w:rPr>
        <w:t>章  附则</w:t>
      </w:r>
    </w:p>
    <w:p w14:paraId="1BEDEB89">
      <w:pPr>
        <w:widowControl w:val="0"/>
        <w:wordWrap/>
        <w:spacing w:line="558" w:lineRule="exact"/>
        <w:ind w:firstLine="640"/>
        <w:textAlignment w:val="auto"/>
        <w:rPr>
          <w:rFonts w:hint="eastAsia" w:ascii="方正仿宋_GBK" w:hAnsi="方正仿宋_GBK" w:eastAsia="方正仿宋_GBK" w:cs="方正仿宋_GBK"/>
          <w:sz w:val="32"/>
          <w:highlight w:val="none"/>
        </w:rPr>
      </w:pPr>
      <w:r>
        <w:rPr>
          <w:rFonts w:hint="eastAsia" w:ascii="方正仿宋_GBK" w:hAnsi="方正仿宋_GBK" w:eastAsia="方正仿宋_GBK" w:cs="方正仿宋_GBK"/>
          <w:sz w:val="32"/>
          <w:highlight w:val="none"/>
          <w:lang w:eastAsia="zh-CN"/>
        </w:rPr>
        <w:t>第二十四条</w:t>
      </w:r>
      <w:r>
        <w:rPr>
          <w:rFonts w:hint="eastAsia" w:ascii="方正仿宋_GBK" w:hAnsi="方正仿宋_GBK" w:eastAsia="方正仿宋_GBK" w:cs="方正仿宋_GBK"/>
          <w:sz w:val="32"/>
          <w:highlight w:val="none"/>
          <w:lang w:val="en-US" w:eastAsia="zh-CN"/>
        </w:rPr>
        <w:t xml:space="preserve"> </w:t>
      </w:r>
      <w:r>
        <w:rPr>
          <w:rFonts w:hint="eastAsia" w:ascii="方正仿宋_GBK" w:hAnsi="方正仿宋_GBK" w:eastAsia="方正仿宋_GBK" w:cs="方正仿宋_GBK"/>
          <w:sz w:val="32"/>
          <w:highlight w:val="none"/>
        </w:rPr>
        <w:t>本</w:t>
      </w:r>
      <w:r>
        <w:rPr>
          <w:rFonts w:hint="eastAsia" w:ascii="方正仿宋_GBK" w:hAnsi="方正仿宋_GBK" w:eastAsia="方正仿宋_GBK" w:cs="方正仿宋_GBK"/>
          <w:sz w:val="32"/>
          <w:highlight w:val="none"/>
          <w:lang w:eastAsia="zh-CN"/>
        </w:rPr>
        <w:t>办法</w:t>
      </w:r>
      <w:r>
        <w:rPr>
          <w:rFonts w:hint="eastAsia" w:ascii="方正仿宋_GBK" w:hAnsi="方正仿宋_GBK" w:eastAsia="方正仿宋_GBK" w:cs="方正仿宋_GBK"/>
          <w:sz w:val="32"/>
          <w:highlight w:val="none"/>
        </w:rPr>
        <w:t>自印发之日起施行</w:t>
      </w:r>
      <w:bookmarkStart w:id="0" w:name="_GoBack"/>
      <w:bookmarkEnd w:id="0"/>
      <w:r>
        <w:rPr>
          <w:rFonts w:hint="eastAsia" w:ascii="方正仿宋_GBK" w:hAnsi="方正仿宋_GBK" w:eastAsia="方正仿宋_GBK" w:cs="方正仿宋_GBK"/>
          <w:sz w:val="32"/>
          <w:highlight w:val="none"/>
          <w:lang w:eastAsia="zh-CN"/>
        </w:rPr>
        <w:t>，有效期</w:t>
      </w:r>
      <w:r>
        <w:rPr>
          <w:rFonts w:hint="eastAsia" w:ascii="方正仿宋_GBK" w:hAnsi="方正仿宋_GBK" w:eastAsia="方正仿宋_GBK" w:cs="方正仿宋_GBK"/>
          <w:sz w:val="32"/>
          <w:highlight w:val="none"/>
          <w:lang w:val="en-US" w:eastAsia="zh-CN"/>
        </w:rPr>
        <w:t>5年</w:t>
      </w:r>
      <w:r>
        <w:rPr>
          <w:rFonts w:hint="eastAsia" w:ascii="方正仿宋_GBK" w:hAnsi="方正仿宋_GBK" w:eastAsia="方正仿宋_GBK" w:cs="方正仿宋_GBK"/>
          <w:sz w:val="32"/>
          <w:highlight w:val="none"/>
        </w:rPr>
        <w:t>。</w:t>
      </w:r>
    </w:p>
    <w:p w14:paraId="6D356AA9">
      <w:pPr>
        <w:widowControl w:val="0"/>
        <w:wordWrap/>
        <w:spacing w:line="558" w:lineRule="exact"/>
        <w:ind w:firstLine="640"/>
        <w:textAlignment w:val="auto"/>
        <w:rPr>
          <w:rFonts w:hint="eastAsia" w:ascii="方正仿宋_GBK" w:hAnsi="方正仿宋_GBK" w:eastAsia="方正仿宋_GBK" w:cs="方正仿宋_GBK"/>
          <w:sz w:val="32"/>
          <w:highlight w:val="none"/>
          <w:lang w:val="en-US" w:eastAsia="zh-CN"/>
        </w:rPr>
      </w:pPr>
      <w:r>
        <w:rPr>
          <w:rFonts w:hint="eastAsia" w:ascii="方正仿宋_GBK" w:hAnsi="方正仿宋_GBK" w:eastAsia="方正仿宋_GBK" w:cs="方正仿宋_GBK"/>
          <w:sz w:val="32"/>
          <w:highlight w:val="none"/>
          <w:lang w:eastAsia="zh-CN"/>
        </w:rPr>
        <w:t>第二十五条</w:t>
      </w:r>
      <w:r>
        <w:rPr>
          <w:rFonts w:hint="eastAsia" w:ascii="方正仿宋_GBK" w:hAnsi="方正仿宋_GBK" w:eastAsia="方正仿宋_GBK" w:cs="方正仿宋_GBK"/>
          <w:sz w:val="32"/>
          <w:highlight w:val="none"/>
          <w:lang w:val="en-US" w:eastAsia="zh-CN"/>
        </w:rPr>
        <w:t xml:space="preserve"> </w:t>
      </w:r>
      <w:r>
        <w:rPr>
          <w:rFonts w:hint="eastAsia" w:ascii="方正仿宋_GBK" w:hAnsi="方正仿宋_GBK" w:eastAsia="方正仿宋_GBK" w:cs="方正仿宋_GBK"/>
          <w:sz w:val="32"/>
          <w:highlight w:val="none"/>
          <w:lang w:eastAsia="zh-CN"/>
        </w:rPr>
        <w:t>本办法由区市场监管局负责解</w:t>
      </w:r>
      <w:r>
        <w:rPr>
          <w:rFonts w:hint="eastAsia" w:ascii="方正仿宋_GBK" w:hAnsi="方正仿宋_GBK" w:eastAsia="方正仿宋_GBK" w:cs="方正仿宋_GBK"/>
          <w:sz w:val="32"/>
          <w:highlight w:val="none"/>
          <w:lang w:val="en-US" w:eastAsia="zh-CN"/>
        </w:rPr>
        <w:t>释。</w:t>
      </w:r>
    </w:p>
    <w:p w14:paraId="752B36F4">
      <w:pPr>
        <w:widowControl w:val="0"/>
        <w:wordWrap/>
        <w:spacing w:line="558" w:lineRule="exact"/>
        <w:ind w:firstLine="640"/>
        <w:textAlignment w:val="auto"/>
        <w:rPr>
          <w:rFonts w:hint="eastAsia" w:ascii="方正仿宋_GBK" w:hAnsi="方正仿宋_GBK" w:eastAsia="方正仿宋_GBK" w:cs="方正仿宋_GBK"/>
          <w:kern w:val="2"/>
          <w:sz w:val="32"/>
          <w:szCs w:val="32"/>
          <w:highlight w:val="none"/>
          <w:lang w:val="en-US" w:eastAsia="zh-CN" w:bidi="ar-SA"/>
        </w:rPr>
      </w:pPr>
      <w:r>
        <w:rPr>
          <w:rFonts w:hint="eastAsia" w:ascii="方正仿宋_GBK" w:hAnsi="方正仿宋_GBK" w:eastAsia="方正仿宋_GBK" w:cs="方正仿宋_GBK"/>
          <w:sz w:val="32"/>
          <w:highlight w:val="none"/>
          <w:lang w:val="en-US" w:eastAsia="zh-CN"/>
        </w:rPr>
        <w:t>第二十六条 除</w:t>
      </w:r>
      <w:r>
        <w:rPr>
          <w:rFonts w:hint="eastAsia" w:ascii="方正仿宋_GBK" w:hAnsi="方正仿宋_GBK" w:eastAsia="方正仿宋_GBK" w:cs="方正仿宋_GBK"/>
          <w:kern w:val="2"/>
          <w:sz w:val="32"/>
          <w:szCs w:val="32"/>
          <w:highlight w:val="none"/>
          <w:lang w:val="en-US" w:eastAsia="zh-CN" w:bidi="ar-SA"/>
        </w:rPr>
        <w:t>涉及保密事项外，专项资金相关信息应主动向社会公开。相关部门应按规定做好专项资金项目申报、预算、决算、绩效评价等信息公开相关工作。</w:t>
      </w:r>
    </w:p>
    <w:p w14:paraId="4E3474D3">
      <w:pPr>
        <w:widowControl w:val="0"/>
        <w:wordWrap/>
        <w:spacing w:line="558" w:lineRule="exact"/>
        <w:ind w:firstLine="640"/>
        <w:textAlignment w:val="auto"/>
        <w:rPr>
          <w:rFonts w:hint="default" w:ascii="方正仿宋_GBK" w:hAnsi="方正仿宋_GBK" w:eastAsia="方正仿宋_GBK" w:cs="方正仿宋_GBK"/>
          <w:sz w:val="32"/>
          <w:highlight w:val="none"/>
          <w:lang w:val="en-US" w:eastAsia="zh-CN"/>
        </w:rPr>
      </w:pPr>
      <w:r>
        <w:rPr>
          <w:rFonts w:hint="eastAsia" w:ascii="方正仿宋_GBK" w:hAnsi="方正仿宋_GBK" w:eastAsia="方正仿宋_GBK" w:cs="方正仿宋_GBK"/>
          <w:sz w:val="32"/>
          <w:highlight w:val="none"/>
          <w:lang w:val="en-US" w:eastAsia="zh-CN"/>
        </w:rPr>
        <w:t>第二十七条 专项资金管理涉及商业秘密等保密事项，需严格按照保密规定及相关文件要求执行。</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8A9E99"/>
    <w:multiLevelType w:val="singleLevel"/>
    <w:tmpl w:val="A48A9E99"/>
    <w:lvl w:ilvl="0" w:tentative="0">
      <w:start w:val="2"/>
      <w:numFmt w:val="chineseCounting"/>
      <w:suff w:val="nothing"/>
      <w:lvlText w:val="（%1）"/>
      <w:lvlJc w:val="left"/>
      <w:rPr>
        <w:rFonts w:hint="eastAsia"/>
      </w:rPr>
    </w:lvl>
  </w:abstractNum>
  <w:abstractNum w:abstractNumId="1">
    <w:nsid w:val="5D0ACB87"/>
    <w:multiLevelType w:val="singleLevel"/>
    <w:tmpl w:val="5D0ACB87"/>
    <w:lvl w:ilvl="0" w:tentative="0">
      <w:start w:val="15"/>
      <w:numFmt w:val="chineseCounting"/>
      <w:suff w:val="space"/>
      <w:lvlText w:val="第%1条"/>
      <w:lvlJc w:val="left"/>
      <w:rPr>
        <w:rFonts w:hint="eastAsia"/>
        <w:sz w:val="32"/>
        <w:szCs w:val="32"/>
      </w:rPr>
    </w:lvl>
  </w:abstractNum>
  <w:abstractNum w:abstractNumId="2">
    <w:nsid w:val="7A7AE352"/>
    <w:multiLevelType w:val="singleLevel"/>
    <w:tmpl w:val="7A7AE352"/>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100"/>
    <w:rsid w:val="00084ED6"/>
    <w:rsid w:val="003960F7"/>
    <w:rsid w:val="00471E25"/>
    <w:rsid w:val="0076135D"/>
    <w:rsid w:val="00817ADC"/>
    <w:rsid w:val="00873E5F"/>
    <w:rsid w:val="008E5BA7"/>
    <w:rsid w:val="00943100"/>
    <w:rsid w:val="00A80B45"/>
    <w:rsid w:val="00C63594"/>
    <w:rsid w:val="00CE4EFE"/>
    <w:rsid w:val="00D46B98"/>
    <w:rsid w:val="00F37081"/>
    <w:rsid w:val="00F42165"/>
    <w:rsid w:val="03047442"/>
    <w:rsid w:val="06284D83"/>
    <w:rsid w:val="06B50CF4"/>
    <w:rsid w:val="07FB307F"/>
    <w:rsid w:val="09120680"/>
    <w:rsid w:val="09491D98"/>
    <w:rsid w:val="0AC72893"/>
    <w:rsid w:val="0C150ED8"/>
    <w:rsid w:val="0C5B40EC"/>
    <w:rsid w:val="0DA73361"/>
    <w:rsid w:val="0F3F1AA3"/>
    <w:rsid w:val="0F7B6853"/>
    <w:rsid w:val="0FA359D5"/>
    <w:rsid w:val="10C369C7"/>
    <w:rsid w:val="116367BA"/>
    <w:rsid w:val="11D4369E"/>
    <w:rsid w:val="12831102"/>
    <w:rsid w:val="13603781"/>
    <w:rsid w:val="147A6014"/>
    <w:rsid w:val="1572721B"/>
    <w:rsid w:val="164E2645"/>
    <w:rsid w:val="18105FEA"/>
    <w:rsid w:val="186624B9"/>
    <w:rsid w:val="193A07AA"/>
    <w:rsid w:val="1A10287A"/>
    <w:rsid w:val="1AA650CC"/>
    <w:rsid w:val="1BF02FCC"/>
    <w:rsid w:val="1C62485F"/>
    <w:rsid w:val="1C7A2EE3"/>
    <w:rsid w:val="1CC47F67"/>
    <w:rsid w:val="1E0C3C6C"/>
    <w:rsid w:val="1F022AED"/>
    <w:rsid w:val="21442F49"/>
    <w:rsid w:val="253B5A69"/>
    <w:rsid w:val="27483912"/>
    <w:rsid w:val="274C2B57"/>
    <w:rsid w:val="27CB43C4"/>
    <w:rsid w:val="28093E38"/>
    <w:rsid w:val="28D26420"/>
    <w:rsid w:val="28D75D33"/>
    <w:rsid w:val="28FB3648"/>
    <w:rsid w:val="2A720CEB"/>
    <w:rsid w:val="2A877A82"/>
    <w:rsid w:val="2AC60E73"/>
    <w:rsid w:val="2C0576E7"/>
    <w:rsid w:val="2D5E5392"/>
    <w:rsid w:val="2D88240F"/>
    <w:rsid w:val="2EBE20A5"/>
    <w:rsid w:val="31A34709"/>
    <w:rsid w:val="3271024F"/>
    <w:rsid w:val="328F3DC3"/>
    <w:rsid w:val="33434FD1"/>
    <w:rsid w:val="345B262C"/>
    <w:rsid w:val="353B5C1D"/>
    <w:rsid w:val="35CD2EB1"/>
    <w:rsid w:val="368619EC"/>
    <w:rsid w:val="369560A5"/>
    <w:rsid w:val="36FE72C1"/>
    <w:rsid w:val="37E65015"/>
    <w:rsid w:val="383A69FC"/>
    <w:rsid w:val="389554ED"/>
    <w:rsid w:val="3AA26B60"/>
    <w:rsid w:val="3AC23405"/>
    <w:rsid w:val="3BAB0637"/>
    <w:rsid w:val="3BD66AE9"/>
    <w:rsid w:val="3C917AAC"/>
    <w:rsid w:val="3DE61E54"/>
    <w:rsid w:val="3E123510"/>
    <w:rsid w:val="3FBF31A6"/>
    <w:rsid w:val="4044666A"/>
    <w:rsid w:val="40714F85"/>
    <w:rsid w:val="41D207AD"/>
    <w:rsid w:val="43480B14"/>
    <w:rsid w:val="434B1392"/>
    <w:rsid w:val="436C03B1"/>
    <w:rsid w:val="449776B0"/>
    <w:rsid w:val="44BC2199"/>
    <w:rsid w:val="45333A8A"/>
    <w:rsid w:val="456A6B72"/>
    <w:rsid w:val="489E604A"/>
    <w:rsid w:val="48A94357"/>
    <w:rsid w:val="493D4570"/>
    <w:rsid w:val="4A31119F"/>
    <w:rsid w:val="4C682FF0"/>
    <w:rsid w:val="543640C4"/>
    <w:rsid w:val="54534C76"/>
    <w:rsid w:val="54685E21"/>
    <w:rsid w:val="54E104D3"/>
    <w:rsid w:val="57B03084"/>
    <w:rsid w:val="586406E8"/>
    <w:rsid w:val="595F09CA"/>
    <w:rsid w:val="59AA2C98"/>
    <w:rsid w:val="5E7C413D"/>
    <w:rsid w:val="5EA97177"/>
    <w:rsid w:val="60567FC7"/>
    <w:rsid w:val="62A019CE"/>
    <w:rsid w:val="62E163B7"/>
    <w:rsid w:val="63150D29"/>
    <w:rsid w:val="65636BE4"/>
    <w:rsid w:val="656F7435"/>
    <w:rsid w:val="659C2241"/>
    <w:rsid w:val="65F37693"/>
    <w:rsid w:val="65FF07B9"/>
    <w:rsid w:val="66B40B0F"/>
    <w:rsid w:val="66C56E6B"/>
    <w:rsid w:val="67EA163D"/>
    <w:rsid w:val="68500752"/>
    <w:rsid w:val="691079C5"/>
    <w:rsid w:val="691B5192"/>
    <w:rsid w:val="6A026A5C"/>
    <w:rsid w:val="6BD36970"/>
    <w:rsid w:val="6BE64FD6"/>
    <w:rsid w:val="6CE54BAD"/>
    <w:rsid w:val="6D100694"/>
    <w:rsid w:val="6D6655C2"/>
    <w:rsid w:val="6DE53E47"/>
    <w:rsid w:val="6EE53B5D"/>
    <w:rsid w:val="71137063"/>
    <w:rsid w:val="7113767A"/>
    <w:rsid w:val="71312C91"/>
    <w:rsid w:val="71A34434"/>
    <w:rsid w:val="71E72B36"/>
    <w:rsid w:val="71F25676"/>
    <w:rsid w:val="731734A2"/>
    <w:rsid w:val="750B7C63"/>
    <w:rsid w:val="767D0A8D"/>
    <w:rsid w:val="76C05D62"/>
    <w:rsid w:val="78BD53BB"/>
    <w:rsid w:val="792E2E8A"/>
    <w:rsid w:val="79E018FF"/>
    <w:rsid w:val="79ED32F3"/>
    <w:rsid w:val="7B0A3A31"/>
    <w:rsid w:val="7C537C1E"/>
    <w:rsid w:val="7CAA0021"/>
    <w:rsid w:val="7D016E03"/>
    <w:rsid w:val="7D2C7C8E"/>
    <w:rsid w:val="7DDA1D27"/>
    <w:rsid w:val="7FA83747"/>
    <w:rsid w:val="7FCF52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32"/>
      <w:szCs w:val="3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link w:val="9"/>
    <w:qFormat/>
    <w:uiPriority w:val="0"/>
    <w:pPr>
      <w:adjustRightInd w:val="0"/>
      <w:snapToGrid w:val="0"/>
      <w:spacing w:line="800" w:lineRule="exact"/>
      <w:jc w:val="center"/>
    </w:pPr>
    <w:rPr>
      <w:rFonts w:ascii="方正小标宋简体" w:eastAsia="方正小标宋简体"/>
      <w:sz w:val="44"/>
    </w:rPr>
  </w:style>
  <w:style w:type="paragraph" w:styleId="3">
    <w:name w:val="Date"/>
    <w:basedOn w:val="1"/>
    <w:next w:val="1"/>
    <w:link w:val="10"/>
    <w:unhideWhenUsed/>
    <w:qFormat/>
    <w:uiPriority w:val="99"/>
    <w:pPr>
      <w:ind w:left="100" w:leftChars="2500"/>
    </w:p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customStyle="1" w:styleId="8">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9">
    <w:name w:val="正文文本 Char"/>
    <w:basedOn w:val="7"/>
    <w:link w:val="2"/>
    <w:qFormat/>
    <w:uiPriority w:val="0"/>
    <w:rPr>
      <w:rFonts w:ascii="方正小标宋简体" w:hAnsi="Times New Roman" w:eastAsia="方正小标宋简体" w:cs="Times New Roman"/>
      <w:sz w:val="44"/>
      <w:szCs w:val="32"/>
    </w:rPr>
  </w:style>
  <w:style w:type="character" w:customStyle="1" w:styleId="10">
    <w:name w:val="日期 Char"/>
    <w:basedOn w:val="7"/>
    <w:link w:val="3"/>
    <w:semiHidden/>
    <w:qFormat/>
    <w:uiPriority w:val="99"/>
    <w:rPr>
      <w:rFonts w:ascii="Times New Roman" w:hAnsi="Times New Roman" w:eastAsia="仿宋" w:cs="Times New Roman"/>
      <w:sz w:val="32"/>
      <w:szCs w:val="32"/>
    </w:rPr>
  </w:style>
  <w:style w:type="character" w:customStyle="1" w:styleId="11">
    <w:name w:val="页眉 Char"/>
    <w:basedOn w:val="7"/>
    <w:link w:val="5"/>
    <w:semiHidden/>
    <w:qFormat/>
    <w:uiPriority w:val="99"/>
    <w:rPr>
      <w:sz w:val="18"/>
      <w:szCs w:val="18"/>
    </w:rPr>
  </w:style>
  <w:style w:type="character" w:customStyle="1" w:styleId="12">
    <w:name w:val="页脚 Char"/>
    <w:basedOn w:val="7"/>
    <w:link w:val="4"/>
    <w:semiHidden/>
    <w:qFormat/>
    <w:uiPriority w:val="99"/>
    <w:rPr>
      <w:rFonts w:ascii="Times New Roman" w:hAnsi="Times New Roman" w:eastAsia="仿宋"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2553</Words>
  <Characters>2577</Characters>
  <Lines>19</Lines>
  <Paragraphs>5</Paragraphs>
  <TotalTime>0</TotalTime>
  <ScaleCrop>false</ScaleCrop>
  <LinksUpToDate>false</LinksUpToDate>
  <CharactersWithSpaces>2635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2023-03-30T05:20:00Z</dcterms:created>
  <dc:creator>dell</dc:creator>
  <cp:lastModifiedBy>李</cp:lastModifiedBy>
  <cp:lastPrinted>2025-01-23T02:47:00Z</cp:lastPrinted>
  <dcterms:modified xsi:type="dcterms:W3CDTF">2025-02-28T09:15:54Z</dcterms:modified>
  <dc:title>成都市锦江区市场监督管理局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76D9F9AA7BFF4D9298131FF9161FE74A_13</vt:lpwstr>
  </property>
  <property fmtid="{D5CDD505-2E9C-101B-9397-08002B2CF9AE}" pid="4" name="KSOTemplateDocerSaveRecord">
    <vt:lpwstr>eyJoZGlkIjoiMjA4YWMyY2M5NmZmNmE4MThiNzRmODgwYzU1YjIzMDgiLCJ1c2VySWQiOiI2MzgwODg2MjEifQ==</vt:lpwstr>
  </property>
</Properties>
</file>