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val="0"/>
        <w:snapToGrid w:val="0"/>
        <w:spacing w:line="600" w:lineRule="exact"/>
        <w:ind w:left="0" w:leftChars="0"/>
        <w:jc w:val="left"/>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附件</w:t>
      </w:r>
    </w:p>
    <w:p>
      <w:pPr>
        <w:keepNext w:val="0"/>
        <w:keepLines w:val="0"/>
        <w:pageBreakBefore w:val="0"/>
        <w:kinsoku/>
        <w:wordWrap/>
        <w:overflowPunct/>
        <w:topLinePunct w:val="0"/>
        <w:autoSpaceDE/>
        <w:autoSpaceDN/>
        <w:bidi w:val="0"/>
        <w:adjustRightInd w:val="0"/>
        <w:snapToGrid w:val="0"/>
        <w:spacing w:line="600" w:lineRule="exact"/>
        <w:ind w:left="0" w:leftChars="0"/>
        <w:jc w:val="center"/>
        <w:rPr>
          <w:rFonts w:hint="eastAsia" w:ascii="方正小标宋_GBK" w:hAnsi="方正小标宋_GBK" w:eastAsia="方正小标宋_GBK" w:cs="方正小标宋_GBK"/>
          <w:sz w:val="44"/>
          <w:szCs w:val="44"/>
          <w:lang w:val="en-US" w:eastAsia="zh-CN"/>
        </w:rPr>
      </w:pPr>
    </w:p>
    <w:p>
      <w:pPr>
        <w:keepNext w:val="0"/>
        <w:keepLines w:val="0"/>
        <w:pageBreakBefore w:val="0"/>
        <w:kinsoku/>
        <w:wordWrap/>
        <w:overflowPunct/>
        <w:topLinePunct w:val="0"/>
        <w:autoSpaceDE/>
        <w:autoSpaceDN/>
        <w:bidi w:val="0"/>
        <w:adjustRightInd w:val="0"/>
        <w:snapToGrid w:val="0"/>
        <w:spacing w:line="600" w:lineRule="exact"/>
        <w:ind w:left="0" w:leftChars="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pacing w:val="-11"/>
          <w:sz w:val="44"/>
          <w:szCs w:val="44"/>
          <w:lang w:val="en-US" w:eastAsia="zh-CN"/>
        </w:rPr>
        <w:t>关于</w:t>
      </w:r>
      <w:r>
        <w:rPr>
          <w:rFonts w:hint="eastAsia" w:ascii="方正小标宋简体" w:hAnsi="黑体" w:eastAsia="方正小标宋简体"/>
          <w:spacing w:val="-11"/>
          <w:sz w:val="44"/>
          <w:szCs w:val="44"/>
          <w:lang w:val="en-US" w:eastAsia="zh-CN"/>
        </w:rPr>
        <w:t>成都东部新区</w:t>
      </w:r>
      <w:r>
        <w:rPr>
          <w:rFonts w:hint="eastAsia" w:ascii="方正小标宋简体" w:hAnsi="黑体" w:eastAsia="方正小标宋简体"/>
          <w:spacing w:val="-11"/>
          <w:sz w:val="44"/>
          <w:szCs w:val="44"/>
        </w:rPr>
        <w:t>202</w:t>
      </w:r>
      <w:r>
        <w:rPr>
          <w:rFonts w:hint="eastAsia" w:ascii="方正小标宋简体" w:hAnsi="黑体" w:eastAsia="方正小标宋简体"/>
          <w:spacing w:val="-11"/>
          <w:sz w:val="44"/>
          <w:szCs w:val="44"/>
          <w:lang w:val="en-US" w:eastAsia="zh-CN"/>
        </w:rPr>
        <w:t>5</w:t>
      </w:r>
      <w:r>
        <w:rPr>
          <w:rFonts w:hint="eastAsia" w:ascii="方正小标宋简体" w:hAnsi="黑体" w:eastAsia="方正小标宋简体"/>
          <w:spacing w:val="-11"/>
          <w:sz w:val="44"/>
          <w:szCs w:val="44"/>
        </w:rPr>
        <w:t>年省级财政农业高质量</w:t>
      </w:r>
      <w:r>
        <w:rPr>
          <w:rFonts w:hint="eastAsia" w:ascii="方正小标宋简体" w:hAnsi="黑体" w:eastAsia="方正小标宋简体"/>
          <w:sz w:val="44"/>
          <w:szCs w:val="44"/>
        </w:rPr>
        <w:t>发展共同财政事权转移支付</w:t>
      </w:r>
      <w:r>
        <w:rPr>
          <w:rFonts w:hint="eastAsia" w:ascii="方正小标宋简体" w:hAnsi="黑体" w:eastAsia="方正小标宋简体"/>
          <w:sz w:val="44"/>
          <w:szCs w:val="44"/>
          <w:lang w:val="en-US" w:eastAsia="zh-CN"/>
        </w:rPr>
        <w:t>资金项目</w:t>
      </w:r>
    </w:p>
    <w:p>
      <w:pPr>
        <w:keepNext w:val="0"/>
        <w:keepLines w:val="0"/>
        <w:pageBreakBefore w:val="0"/>
        <w:kinsoku/>
        <w:wordWrap/>
        <w:overflowPunct/>
        <w:topLinePunct w:val="0"/>
        <w:autoSpaceDE/>
        <w:autoSpaceDN/>
        <w:bidi w:val="0"/>
        <w:adjustRightInd w:val="0"/>
        <w:snapToGrid w:val="0"/>
        <w:spacing w:line="600" w:lineRule="exact"/>
        <w:ind w:left="0" w:leftChars="0"/>
        <w:jc w:val="center"/>
        <w:rPr>
          <w:rFonts w:hint="eastAsia" w:ascii="方正小标宋_GBK" w:hAnsi="方正小标宋_GBK" w:eastAsia="方正小标宋_GBK" w:cs="方正小标宋_GBK"/>
          <w:kern w:val="0"/>
          <w:sz w:val="44"/>
          <w:szCs w:val="44"/>
        </w:rPr>
      </w:pPr>
      <w:r>
        <w:rPr>
          <w:rFonts w:hint="eastAsia" w:ascii="方正小标宋_GBK" w:hAnsi="方正小标宋_GBK" w:eastAsia="方正小标宋_GBK" w:cs="方正小标宋_GBK"/>
          <w:sz w:val="44"/>
          <w:szCs w:val="44"/>
          <w:lang w:val="en-US" w:eastAsia="zh-CN"/>
        </w:rPr>
        <w:t>实施方案的报告</w:t>
      </w:r>
      <w:r>
        <w:rPr>
          <w:rFonts w:hint="eastAsia" w:ascii="方正小标宋_GBK" w:hAnsi="方正小标宋_GBK" w:eastAsia="方正小标宋_GBK" w:cs="方正小标宋_GBK"/>
          <w:sz w:val="44"/>
          <w:szCs w:val="44"/>
        </w:rPr>
        <w:t>（模板）</w:t>
      </w:r>
    </w:p>
    <w:p>
      <w:pPr>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rPr>
          <w:rFonts w:ascii="黑体" w:hAnsi="黑体" w:eastAsia="黑体"/>
          <w:kern w:val="0"/>
          <w:sz w:val="32"/>
          <w:szCs w:val="32"/>
        </w:rPr>
      </w:pP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sz w:val="32"/>
          <w:szCs w:val="32"/>
          <w:lang w:val="en-US" w:eastAsia="zh-CN"/>
        </w:rPr>
        <w:t>根据</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成都市财政局成都市农业农村局关于转发《四川省财政厅川省农业农关于印发</w:t>
      </w:r>
      <w:r>
        <w:rPr>
          <w:rFonts w:hint="eastAsia" w:ascii="Times New Roman" w:hAnsi="Times New Roman" w:eastAsia="方正仿宋_GBK" w:cs="Times New Roman"/>
          <w:sz w:val="32"/>
          <w:szCs w:val="32"/>
          <w:lang w:val="en-US" w:eastAsia="zh-CN"/>
        </w:rPr>
        <w:t>&lt;</w:t>
      </w:r>
      <w:r>
        <w:rPr>
          <w:rFonts w:hint="default" w:ascii="Times New Roman" w:hAnsi="Times New Roman" w:eastAsia="方正仿宋_GBK" w:cs="Times New Roman"/>
          <w:sz w:val="32"/>
          <w:szCs w:val="32"/>
          <w:lang w:val="en-US" w:eastAsia="zh-CN"/>
        </w:rPr>
        <w:t>四川省省级财政农业高质量发展共同财政事权转移支付资金管理办法</w:t>
      </w:r>
      <w:r>
        <w:rPr>
          <w:rFonts w:hint="eastAsia" w:ascii="Times New Roman" w:hAnsi="Times New Roman" w:eastAsia="方正仿宋_GBK" w:cs="Times New Roman"/>
          <w:sz w:val="32"/>
          <w:szCs w:val="32"/>
          <w:lang w:val="en-US" w:eastAsia="zh-CN"/>
        </w:rPr>
        <w:t>&gt;</w:t>
      </w:r>
      <w:r>
        <w:rPr>
          <w:rFonts w:hint="default" w:ascii="Times New Roman" w:hAnsi="Times New Roman" w:eastAsia="方正仿宋_GBK" w:cs="Times New Roman"/>
          <w:sz w:val="32"/>
          <w:szCs w:val="32"/>
          <w:lang w:val="en-US" w:eastAsia="zh-CN"/>
        </w:rPr>
        <w:t>的通知》的通知</w:t>
      </w:r>
      <w:r>
        <w:rPr>
          <w:rFonts w:hint="eastAsia" w:ascii="Times New Roman" w:hAnsi="Times New Roman" w:eastAsia="方正仿宋_GBK" w:cs="Times New Roman"/>
          <w:sz w:val="32"/>
          <w:szCs w:val="32"/>
          <w:lang w:val="en-US" w:eastAsia="zh-CN"/>
        </w:rPr>
        <w:t>》（成财制</w:t>
      </w:r>
      <w:r>
        <w:rPr>
          <w:rFonts w:hint="default" w:ascii="Times New Roman" w:hAnsi="Times New Roman" w:eastAsia="方正仿宋_GBK" w:cs="Times New Roman"/>
          <w:sz w:val="32"/>
          <w:szCs w:val="32"/>
        </w:rPr>
        <w:t>〔202</w:t>
      </w:r>
      <w:r>
        <w:rPr>
          <w:rFonts w:hint="eastAsia" w:ascii="Times New Roman" w:hAnsi="Times New Roman" w:eastAsia="方正仿宋_GBK" w:cs="Times New Roman"/>
          <w:sz w:val="32"/>
          <w:szCs w:val="32"/>
          <w:lang w:val="en-US" w:eastAsia="zh-CN"/>
        </w:rPr>
        <w:t>3</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1号）</w:t>
      </w:r>
      <w:r>
        <w:rPr>
          <w:rFonts w:hint="default" w:ascii="Times New Roman" w:hAnsi="Times New Roman" w:eastAsia="方正仿宋_GBK" w:cs="Times New Roman"/>
          <w:sz w:val="32"/>
          <w:szCs w:val="32"/>
          <w:lang w:val="en-US" w:eastAsia="zh-CN"/>
        </w:rPr>
        <w:t>文件要求，</w:t>
      </w:r>
      <w:r>
        <w:rPr>
          <w:rFonts w:hint="default" w:ascii="Times New Roman" w:hAnsi="Times New Roman" w:eastAsia="方正仿宋_GBK" w:cs="Times New Roman"/>
          <w:sz w:val="32"/>
          <w:szCs w:val="32"/>
        </w:rPr>
        <w:t>助力打造更高水平的</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天府粮仓</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sz w:val="32"/>
          <w:szCs w:val="32"/>
        </w:rPr>
        <w:t>现将我</w:t>
      </w:r>
      <w:r>
        <w:rPr>
          <w:rFonts w:hint="default" w:ascii="Times New Roman" w:hAnsi="Times New Roman" w:eastAsia="方正仿宋_GBK" w:cs="Times New Roman"/>
          <w:color w:val="000000"/>
          <w:sz w:val="32"/>
          <w:szCs w:val="32"/>
          <w:lang w:val="en-US" w:eastAsia="zh-CN"/>
        </w:rPr>
        <w:t>镇（街道）</w:t>
      </w:r>
      <w:r>
        <w:rPr>
          <w:rFonts w:hint="eastAsia" w:ascii="Times New Roman" w:hAnsi="Times New Roman" w:eastAsia="方正仿宋_GBK" w:cs="Times New Roman"/>
          <w:color w:val="000000"/>
          <w:sz w:val="32"/>
          <w:szCs w:val="32"/>
          <w:lang w:val="en-US" w:eastAsia="zh-CN"/>
        </w:rPr>
        <w:t>关于成都东部新区</w:t>
      </w:r>
      <w:r>
        <w:rPr>
          <w:rFonts w:hint="default" w:ascii="Times New Roman" w:hAnsi="Times New Roman" w:eastAsia="方正仿宋_GBK" w:cs="Times New Roman"/>
          <w:color w:val="000000"/>
          <w:sz w:val="32"/>
          <w:szCs w:val="32"/>
        </w:rPr>
        <w:t>202</w:t>
      </w:r>
      <w:r>
        <w:rPr>
          <w:rFonts w:hint="eastAsia" w:ascii="Times New Roman" w:hAnsi="Times New Roman"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rPr>
        <w:t>年成都市农村机电提灌站建设项目实施方案报告如下。</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color w:val="000000"/>
          <w:sz w:val="32"/>
          <w:szCs w:val="32"/>
        </w:rPr>
        <w:t>一、指导思想</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方正黑体_GBK" w:hAnsi="方正黑体_GBK" w:eastAsia="方正黑体_GBK" w:cs="方正黑体_GBK"/>
          <w:color w:val="000000"/>
          <w:sz w:val="32"/>
          <w:szCs w:val="32"/>
          <w:lang w:val="en-US" w:eastAsia="zh-CN"/>
        </w:rPr>
      </w:pPr>
      <w:r>
        <w:rPr>
          <w:rFonts w:hint="eastAsia" w:ascii="方正黑体_GBK" w:hAnsi="方正黑体_GBK" w:eastAsia="方正黑体_GBK" w:cs="方正黑体_GBK"/>
          <w:color w:val="000000"/>
          <w:sz w:val="32"/>
          <w:szCs w:val="32"/>
          <w:lang w:val="en-US" w:eastAsia="zh-CN"/>
        </w:rPr>
        <w:t>......</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方正黑体_GBK" w:hAnsi="方正黑体_GBK" w:eastAsia="方正黑体_GBK" w:cs="方正黑体_GBK"/>
          <w:color w:val="000000"/>
          <w:sz w:val="32"/>
          <w:szCs w:val="32"/>
        </w:rPr>
      </w:pPr>
      <w:r>
        <w:rPr>
          <w:rFonts w:hint="default" w:ascii="方正黑体_GBK" w:hAnsi="方正黑体_GBK" w:eastAsia="方正黑体_GBK" w:cs="方正黑体_GBK"/>
          <w:color w:val="000000"/>
          <w:sz w:val="32"/>
          <w:szCs w:val="32"/>
        </w:rPr>
        <w:t>二、发展现状</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包括区域内机电提灌站发展现状（表述区域内提灌站的数量、功率等情况）、建立管护制度以及政策支持情况。</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color w:val="000000"/>
          <w:sz w:val="32"/>
          <w:szCs w:val="32"/>
        </w:rPr>
        <w:t>三、建设内容</w:t>
      </w:r>
      <w:r>
        <w:rPr>
          <w:rFonts w:hint="default" w:ascii="Times New Roman" w:hAnsi="Times New Roman" w:eastAsia="方正仿宋_GBK" w:cs="Times New Roman"/>
          <w:color w:val="000000"/>
          <w:sz w:val="32"/>
          <w:szCs w:val="32"/>
        </w:rPr>
        <w:t>（包括项目背景、立项的必要性、可行性以及项目政策性审批情况等）</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项目内容的摘要性说明（包括建设单位、建设地点、功率和保灌面积以及投资估算与效益分析等）、立项的必要性、项目可行性。</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建设用地须说明用地性质、用地来源等，选址要有土地、动力电源和渠系等配套。是否已通过规划、国土、环评等项目政策</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性审批要求。</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方正黑体_GBK" w:hAnsi="方正黑体_GBK" w:eastAsia="方正黑体_GBK" w:cs="方正黑体_GBK"/>
          <w:color w:val="000000"/>
          <w:sz w:val="32"/>
          <w:szCs w:val="32"/>
        </w:rPr>
      </w:pPr>
      <w:r>
        <w:rPr>
          <w:rFonts w:hint="default" w:ascii="方正黑体_GBK" w:hAnsi="方正黑体_GBK" w:eastAsia="方正黑体_GBK" w:cs="方正黑体_GBK"/>
          <w:color w:val="000000"/>
          <w:sz w:val="32"/>
          <w:szCs w:val="32"/>
        </w:rPr>
        <w:t>四、项目金额</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项目总投资，具体包括：</w:t>
      </w:r>
      <w:r>
        <w:rPr>
          <w:rFonts w:hint="eastAsia" w:ascii="Times New Roman" w:hAnsi="Times New Roman" w:eastAsia="方正仿宋_GBK" w:cs="Times New Roman"/>
          <w:color w:val="000000"/>
          <w:sz w:val="32"/>
          <w:szCs w:val="32"/>
        </w:rPr>
        <w:t>202</w:t>
      </w:r>
      <w:r>
        <w:rPr>
          <w:rFonts w:hint="eastAsia" w:ascii="Times New Roman" w:hAnsi="Times New Roman" w:eastAsia="方正仿宋_GBK" w:cs="Times New Roman"/>
          <w:color w:val="000000"/>
          <w:sz w:val="32"/>
          <w:szCs w:val="32"/>
          <w:lang w:val="en-US" w:eastAsia="zh-CN"/>
        </w:rPr>
        <w:t>5</w:t>
      </w:r>
      <w:r>
        <w:rPr>
          <w:rFonts w:hint="eastAsia" w:ascii="Times New Roman" w:hAnsi="Times New Roman" w:eastAsia="方正仿宋_GBK" w:cs="Times New Roman"/>
          <w:color w:val="000000"/>
          <w:sz w:val="32"/>
          <w:szCs w:val="32"/>
        </w:rPr>
        <w:t>年省级财政农业高质量发展共同财政事权转移支付</w:t>
      </w:r>
      <w:r>
        <w:rPr>
          <w:rFonts w:hint="eastAsia" w:ascii="Times New Roman" w:hAnsi="Times New Roman" w:eastAsia="方正仿宋_GBK" w:cs="Times New Roman"/>
          <w:color w:val="000000"/>
          <w:sz w:val="32"/>
          <w:szCs w:val="32"/>
          <w:lang w:val="en-US" w:eastAsia="zh-CN"/>
        </w:rPr>
        <w:t>资金XX</w:t>
      </w:r>
      <w:r>
        <w:rPr>
          <w:rFonts w:hint="default" w:ascii="Times New Roman" w:hAnsi="Times New Roman" w:eastAsia="方正仿宋_GBK" w:cs="Times New Roman"/>
          <w:color w:val="000000"/>
          <w:sz w:val="32"/>
          <w:szCs w:val="32"/>
        </w:rPr>
        <w:t>。说明新建或改造升级项目的建设规模及数量、单位、方案设计、工程预算等。（填报202</w:t>
      </w:r>
      <w:r>
        <w:rPr>
          <w:rFonts w:hint="eastAsia" w:ascii="Times New Roman" w:hAnsi="Times New Roman"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rPr>
        <w:t>年成都</w:t>
      </w:r>
      <w:r>
        <w:rPr>
          <w:rFonts w:hint="eastAsia" w:ascii="Times New Roman" w:hAnsi="Times New Roman" w:eastAsia="方正仿宋_GBK" w:cs="Times New Roman"/>
          <w:color w:val="000000"/>
          <w:sz w:val="32"/>
          <w:szCs w:val="32"/>
          <w:lang w:val="en-US" w:eastAsia="zh-CN"/>
        </w:rPr>
        <w:t>东部新区</w:t>
      </w:r>
      <w:r>
        <w:rPr>
          <w:rFonts w:hint="default" w:ascii="Times New Roman" w:hAnsi="Times New Roman" w:eastAsia="方正仿宋_GBK" w:cs="Times New Roman"/>
          <w:color w:val="000000"/>
          <w:sz w:val="32"/>
          <w:szCs w:val="32"/>
        </w:rPr>
        <w:t>农村机电提灌站建设项目相关情况表）</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方正黑体_GBK" w:hAnsi="方正黑体_GBK" w:eastAsia="方正黑体_GBK" w:cs="方正黑体_GBK"/>
          <w:color w:val="000000"/>
          <w:sz w:val="32"/>
          <w:szCs w:val="32"/>
        </w:rPr>
      </w:pPr>
      <w:r>
        <w:rPr>
          <w:rFonts w:hint="default" w:ascii="方正黑体_GBK" w:hAnsi="方正黑体_GBK" w:eastAsia="方正黑体_GBK" w:cs="方正黑体_GBK"/>
          <w:color w:val="000000"/>
          <w:sz w:val="32"/>
          <w:szCs w:val="32"/>
        </w:rPr>
        <w:t>五、完成时限</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color w:val="000000"/>
          <w:sz w:val="32"/>
          <w:szCs w:val="32"/>
        </w:rPr>
        <w:t>202</w:t>
      </w:r>
      <w:r>
        <w:rPr>
          <w:rFonts w:hint="eastAsia" w:ascii="Times New Roman" w:hAnsi="Times New Roman"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rPr>
        <w:t>年</w:t>
      </w:r>
      <w:r>
        <w:rPr>
          <w:rFonts w:hint="eastAsia" w:ascii="Times New Roman" w:hAnsi="Times New Roman" w:eastAsia="方正仿宋_GBK" w:cs="Times New Roman"/>
          <w:color w:val="000000"/>
          <w:sz w:val="32"/>
          <w:szCs w:val="32"/>
          <w:lang w:val="en-US" w:eastAsia="zh-CN"/>
        </w:rPr>
        <w:t>xx月</w:t>
      </w:r>
      <w:r>
        <w:rPr>
          <w:rFonts w:hint="default" w:ascii="Times New Roman" w:hAnsi="Times New Roman" w:eastAsia="方正仿宋_GBK" w:cs="Times New Roman"/>
          <w:color w:val="000000"/>
          <w:sz w:val="32"/>
          <w:szCs w:val="32"/>
        </w:rPr>
        <w:t>完成</w:t>
      </w:r>
      <w:r>
        <w:rPr>
          <w:rFonts w:hint="eastAsia" w:ascii="Times New Roman" w:hAnsi="Times New Roman" w:eastAsia="方正仿宋_GBK" w:cs="Times New Roman"/>
          <w:color w:val="000000"/>
          <w:sz w:val="32"/>
          <w:szCs w:val="32"/>
          <w:lang w:eastAsia="zh-CN"/>
        </w:rPr>
        <w:t>。</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方正黑体_GBK" w:hAnsi="方正黑体_GBK" w:eastAsia="方正黑体_GBK" w:cs="方正黑体_GBK"/>
          <w:color w:val="000000"/>
          <w:sz w:val="32"/>
          <w:szCs w:val="32"/>
        </w:rPr>
      </w:pPr>
      <w:r>
        <w:rPr>
          <w:rFonts w:hint="default" w:ascii="方正黑体_GBK" w:hAnsi="方正黑体_GBK" w:eastAsia="方正黑体_GBK" w:cs="方正黑体_GBK"/>
          <w:color w:val="000000"/>
          <w:sz w:val="32"/>
          <w:szCs w:val="32"/>
        </w:rPr>
        <w:t>六、实施程序</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方正黑体_GBK" w:hAnsi="方正黑体_GBK" w:eastAsia="方正黑体_GBK" w:cs="方正黑体_GBK"/>
          <w:color w:val="000000"/>
          <w:sz w:val="32"/>
          <w:szCs w:val="32"/>
        </w:rPr>
      </w:pPr>
      <w:r>
        <w:rPr>
          <w:rFonts w:hint="default" w:ascii="方正黑体_GBK" w:hAnsi="方正黑体_GBK" w:eastAsia="方正黑体_GBK" w:cs="方正黑体_GBK"/>
          <w:color w:val="000000"/>
          <w:sz w:val="32"/>
          <w:szCs w:val="32"/>
        </w:rPr>
        <w:t>七、绩效目标</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（一）任务数完成。</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（二）包括但不限于控灌面积等经济效益以及社会效益、生态效益、满意度情况。</w:t>
      </w: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0"/>
        <w:jc w:val="both"/>
        <w:textAlignment w:val="auto"/>
        <w:rPr>
          <w:rFonts w:hint="default" w:ascii="Times New Roman" w:hAnsi="Times New Roman" w:eastAsia="方正仿宋_GBK" w:cs="Times New Roman"/>
          <w:color w:val="000000"/>
          <w:sz w:val="32"/>
          <w:szCs w:val="32"/>
        </w:rPr>
      </w:pPr>
    </w:p>
    <w:p>
      <w:pPr>
        <w:pStyle w:val="6"/>
        <w:keepNext w:val="0"/>
        <w:keepLines w:val="0"/>
        <w:pageBreakBefore w:val="0"/>
        <w:widowControl w:val="0"/>
        <w:suppressLineNumbers w:val="0"/>
        <w:kinsoku/>
        <w:wordWrap/>
        <w:overflowPunct/>
        <w:topLinePunct w:val="0"/>
        <w:autoSpaceDE/>
        <w:autoSpaceDN/>
        <w:bidi w:val="0"/>
        <w:adjustRightInd/>
        <w:snapToGrid/>
        <w:spacing w:line="600" w:lineRule="exact"/>
        <w:ind w:left="1598" w:leftChars="304" w:hanging="960" w:hangingChars="300"/>
        <w:jc w:val="both"/>
        <w:textAlignment w:val="auto"/>
        <w:rPr>
          <w:rFonts w:hint="default" w:ascii="Times New Roman" w:hAnsi="Times New Roman" w:eastAsia="方正仿宋_GBK" w:cs="Times New Roman"/>
          <w:sz w:val="32"/>
          <w:szCs w:val="32"/>
          <w:lang w:val="en-US"/>
        </w:rPr>
      </w:pPr>
      <w:r>
        <w:rPr>
          <w:rFonts w:hint="default" w:ascii="Times New Roman" w:hAnsi="Times New Roman" w:eastAsia="方正仿宋_GBK" w:cs="Times New Roman"/>
          <w:color w:val="000000"/>
          <w:sz w:val="32"/>
          <w:szCs w:val="32"/>
        </w:rPr>
        <w:t>附件：</w:t>
      </w:r>
      <w:r>
        <w:rPr>
          <w:rFonts w:hint="eastAsia" w:ascii="Times New Roman" w:hAnsi="Times New Roman" w:eastAsia="方正仿宋_GBK" w:cs="Times New Roman"/>
          <w:color w:val="000000"/>
          <w:sz w:val="32"/>
          <w:szCs w:val="32"/>
          <w:lang w:val="en-US" w:eastAsia="zh-CN"/>
        </w:rPr>
        <w:t>成都东部新区</w:t>
      </w:r>
      <w:r>
        <w:rPr>
          <w:rFonts w:hint="eastAsia" w:ascii="Times New Roman" w:hAnsi="Times New Roman" w:eastAsia="方正仿宋_GBK" w:cs="Times New Roman"/>
          <w:color w:val="000000"/>
          <w:sz w:val="32"/>
          <w:szCs w:val="32"/>
        </w:rPr>
        <w:t>202</w:t>
      </w:r>
      <w:r>
        <w:rPr>
          <w:rFonts w:hint="eastAsia" w:ascii="Times New Roman" w:hAnsi="Times New Roman" w:eastAsia="方正仿宋_GBK" w:cs="Times New Roman"/>
          <w:color w:val="000000"/>
          <w:sz w:val="32"/>
          <w:szCs w:val="32"/>
          <w:lang w:val="en-US" w:eastAsia="zh-CN"/>
        </w:rPr>
        <w:t>5</w:t>
      </w:r>
      <w:r>
        <w:rPr>
          <w:rFonts w:hint="eastAsia" w:ascii="Times New Roman" w:hAnsi="Times New Roman" w:eastAsia="方正仿宋_GBK" w:cs="Times New Roman"/>
          <w:color w:val="000000"/>
          <w:sz w:val="32"/>
          <w:szCs w:val="32"/>
        </w:rPr>
        <w:t>年省级财政农业高质量发展共同财政事权转移支付</w:t>
      </w:r>
      <w:r>
        <w:rPr>
          <w:rFonts w:hint="eastAsia" w:ascii="Times New Roman" w:hAnsi="Times New Roman" w:eastAsia="方正仿宋_GBK" w:cs="Times New Roman"/>
          <w:color w:val="000000"/>
          <w:sz w:val="32"/>
          <w:szCs w:val="32"/>
          <w:lang w:val="en-US" w:eastAsia="zh-CN"/>
        </w:rPr>
        <w:t>资金项目相关情况表</w:t>
      </w:r>
    </w:p>
    <w:p>
      <w:pPr>
        <w:pStyle w:val="6"/>
        <w:keepNext w:val="0"/>
        <w:keepLines w:val="0"/>
        <w:pageBreakBefore w:val="0"/>
        <w:widowControl/>
        <w:suppressLineNumbers w:val="0"/>
        <w:kinsoku/>
        <w:wordWrap/>
        <w:overflowPunct/>
        <w:topLinePunct w:val="0"/>
        <w:autoSpaceDE/>
        <w:autoSpaceDN/>
        <w:bidi w:val="0"/>
        <w:spacing w:line="600" w:lineRule="exact"/>
        <w:ind w:left="0" w:leftChars="0"/>
        <w:rPr>
          <w:rFonts w:hint="eastAsia" w:ascii="仿宋_GB2312" w:eastAsia="仿宋_GB2312" w:cs="仿宋_GB2312"/>
          <w:color w:val="000000"/>
          <w:sz w:val="32"/>
          <w:szCs w:val="32"/>
        </w:rPr>
      </w:pPr>
      <w:r>
        <w:t>      </w:t>
      </w:r>
    </w:p>
    <w:p>
      <w:pPr>
        <w:pStyle w:val="6"/>
        <w:keepNext w:val="0"/>
        <w:keepLines w:val="0"/>
        <w:pageBreakBefore w:val="0"/>
        <w:widowControl/>
        <w:suppressLineNumbers w:val="0"/>
        <w:kinsoku/>
        <w:wordWrap/>
        <w:overflowPunct/>
        <w:topLinePunct w:val="0"/>
        <w:autoSpaceDE/>
        <w:autoSpaceDN/>
        <w:bidi w:val="0"/>
        <w:spacing w:line="600" w:lineRule="exact"/>
        <w:ind w:left="0" w:leftChars="0"/>
        <w:rPr>
          <w:rFonts w:hint="eastAsia" w:ascii="仿宋_GB2312" w:eastAsia="仿宋_GB2312" w:cs="仿宋_GB2312"/>
          <w:color w:val="000000"/>
          <w:sz w:val="32"/>
          <w:szCs w:val="32"/>
        </w:rPr>
        <w:sectPr>
          <w:pgSz w:w="11906" w:h="16838"/>
          <w:pgMar w:top="2098" w:right="1474" w:bottom="1984" w:left="1587" w:header="851" w:footer="992" w:gutter="0"/>
          <w:pgNumType w:fmt="decimal"/>
          <w:cols w:space="720" w:num="1"/>
          <w:docGrid w:type="lines" w:linePitch="312" w:charSpace="0"/>
        </w:sectPr>
      </w:pPr>
    </w:p>
    <w:p>
      <w:pPr>
        <w:pStyle w:val="6"/>
        <w:keepNext w:val="0"/>
        <w:keepLines w:val="0"/>
        <w:pageBreakBefore w:val="0"/>
        <w:widowControl/>
        <w:suppressLineNumbers w:val="0"/>
        <w:kinsoku/>
        <w:wordWrap/>
        <w:overflowPunct/>
        <w:topLinePunct w:val="0"/>
        <w:autoSpaceDE/>
        <w:autoSpaceDN/>
        <w:bidi w:val="0"/>
        <w:spacing w:line="600" w:lineRule="exact"/>
        <w:ind w:left="0" w:leftChars="0"/>
        <w:jc w:val="left"/>
        <w:rPr>
          <w:rFonts w:hint="eastAsia" w:ascii="方正黑体_GBK" w:hAnsi="方正黑体_GBK" w:eastAsia="方正黑体_GBK" w:cs="方正黑体_GBK"/>
          <w:color w:val="000000"/>
          <w:sz w:val="32"/>
          <w:szCs w:val="32"/>
          <w:lang w:val="en-US" w:eastAsia="zh-CN"/>
        </w:rPr>
      </w:pPr>
      <w:r>
        <w:rPr>
          <w:rFonts w:hint="eastAsia" w:ascii="方正黑体_GBK" w:hAnsi="方正黑体_GBK" w:eastAsia="方正黑体_GBK" w:cs="方正黑体_GBK"/>
          <w:color w:val="000000"/>
          <w:sz w:val="32"/>
          <w:szCs w:val="32"/>
          <w:lang w:val="en-US" w:eastAsia="zh-CN"/>
        </w:rPr>
        <w:t>附件</w:t>
      </w:r>
    </w:p>
    <w:p>
      <w:pPr>
        <w:pStyle w:val="6"/>
        <w:keepNext w:val="0"/>
        <w:keepLines w:val="0"/>
        <w:pageBreakBefore w:val="0"/>
        <w:widowControl/>
        <w:suppressLineNumbers w:val="0"/>
        <w:kinsoku/>
        <w:wordWrap/>
        <w:overflowPunct/>
        <w:topLinePunct w:val="0"/>
        <w:autoSpaceDE/>
        <w:autoSpaceDN/>
        <w:bidi w:val="0"/>
        <w:spacing w:line="600" w:lineRule="exact"/>
        <w:ind w:left="0" w:leftChars="0"/>
        <w:jc w:val="center"/>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val="en-US" w:eastAsia="zh-CN"/>
        </w:rPr>
        <w:t>成都东部新区</w:t>
      </w:r>
      <w:r>
        <w:rPr>
          <w:rFonts w:hint="eastAsia" w:ascii="方正小标宋_GBK" w:hAnsi="方正小标宋_GBK" w:eastAsia="方正小标宋_GBK" w:cs="方正小标宋_GBK"/>
          <w:color w:val="000000"/>
          <w:sz w:val="44"/>
          <w:szCs w:val="44"/>
        </w:rPr>
        <w:t>202</w:t>
      </w:r>
      <w:r>
        <w:rPr>
          <w:rFonts w:hint="eastAsia" w:ascii="方正小标宋_GBK" w:hAnsi="方正小标宋_GBK" w:eastAsia="方正小标宋_GBK" w:cs="方正小标宋_GBK"/>
          <w:color w:val="000000"/>
          <w:sz w:val="44"/>
          <w:szCs w:val="44"/>
          <w:lang w:val="en-US" w:eastAsia="zh-CN"/>
        </w:rPr>
        <w:t>5</w:t>
      </w:r>
      <w:r>
        <w:rPr>
          <w:rFonts w:hint="eastAsia" w:ascii="方正小标宋_GBK" w:hAnsi="方正小标宋_GBK" w:eastAsia="方正小标宋_GBK" w:cs="方正小标宋_GBK"/>
          <w:color w:val="000000"/>
          <w:sz w:val="44"/>
          <w:szCs w:val="44"/>
        </w:rPr>
        <w:t>年省级财政农业高质量发展共同财政事权转移支付</w:t>
      </w:r>
      <w:r>
        <w:rPr>
          <w:rFonts w:hint="eastAsia" w:ascii="方正小标宋_GBK" w:hAnsi="方正小标宋_GBK" w:eastAsia="方正小标宋_GBK" w:cs="方正小标宋_GBK"/>
          <w:color w:val="000000"/>
          <w:sz w:val="44"/>
          <w:szCs w:val="44"/>
          <w:lang w:val="en-US" w:eastAsia="zh-CN"/>
        </w:rPr>
        <w:t>资金项目相关情况表</w:t>
      </w:r>
    </w:p>
    <w:tbl>
      <w:tblPr>
        <w:tblStyle w:val="7"/>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55"/>
        <w:gridCol w:w="674"/>
        <w:gridCol w:w="739"/>
        <w:gridCol w:w="674"/>
        <w:gridCol w:w="800"/>
        <w:gridCol w:w="800"/>
        <w:gridCol w:w="1188"/>
        <w:gridCol w:w="1487"/>
        <w:gridCol w:w="1611"/>
        <w:gridCol w:w="800"/>
        <w:gridCol w:w="688"/>
        <w:gridCol w:w="576"/>
        <w:gridCol w:w="486"/>
        <w:gridCol w:w="1450"/>
        <w:gridCol w:w="1029"/>
        <w:gridCol w:w="6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序号</w:t>
            </w:r>
          </w:p>
        </w:tc>
        <w:tc>
          <w:tcPr>
            <w:tcW w:w="23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区（市）县</w:t>
            </w:r>
          </w:p>
        </w:tc>
        <w:tc>
          <w:tcPr>
            <w:tcW w:w="260"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镇（街道）</w:t>
            </w:r>
          </w:p>
        </w:tc>
        <w:tc>
          <w:tcPr>
            <w:tcW w:w="23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村（社区）</w:t>
            </w:r>
          </w:p>
        </w:tc>
        <w:tc>
          <w:tcPr>
            <w:tcW w:w="28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农村机电提灌站名称</w:t>
            </w:r>
          </w:p>
        </w:tc>
        <w:tc>
          <w:tcPr>
            <w:tcW w:w="28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建设类型（新建/改造升级）</w:t>
            </w:r>
          </w:p>
        </w:tc>
        <w:tc>
          <w:tcPr>
            <w:tcW w:w="41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原建设时间（如拟申报改造升级，则需填此项）</w:t>
            </w:r>
          </w:p>
        </w:tc>
        <w:tc>
          <w:tcPr>
            <w:tcW w:w="525"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申报事由</w:t>
            </w:r>
          </w:p>
        </w:tc>
        <w:tc>
          <w:tcPr>
            <w:tcW w:w="569"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项目建设内容</w:t>
            </w:r>
          </w:p>
        </w:tc>
        <w:tc>
          <w:tcPr>
            <w:tcW w:w="28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总动力（瓦）</w:t>
            </w:r>
          </w:p>
        </w:tc>
        <w:tc>
          <w:tcPr>
            <w:tcW w:w="243"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控灌面积（亩）</w:t>
            </w:r>
          </w:p>
        </w:tc>
        <w:tc>
          <w:tcPr>
            <w:tcW w:w="203"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保灌农作物类</w:t>
            </w:r>
          </w:p>
        </w:tc>
        <w:tc>
          <w:tcPr>
            <w:tcW w:w="1047" w:type="pct"/>
            <w:gridSpan w:val="3"/>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总投资（万元）</w:t>
            </w:r>
          </w:p>
        </w:tc>
        <w:tc>
          <w:tcPr>
            <w:tcW w:w="212" w:type="pct"/>
            <w:vMerge w:val="restart"/>
            <w:tcBorders>
              <w:top w:val="single" w:color="000000" w:sz="4" w:space="0"/>
              <w:left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default" w:ascii="方正黑体_GBK" w:hAnsi="方正黑体_GBK" w:eastAsia="方正黑体_GBK" w:cs="方正黑体_GBK"/>
                <w:i w:val="0"/>
                <w:iCs w:val="0"/>
                <w:color w:val="000000"/>
                <w:kern w:val="0"/>
                <w:sz w:val="28"/>
                <w:szCs w:val="28"/>
                <w:u w:val="none"/>
                <w:lang w:val="en-US" w:eastAsia="zh-CN" w:bidi="ar"/>
              </w:rPr>
            </w:pPr>
            <w:r>
              <w:rPr>
                <w:rFonts w:hint="eastAsia" w:ascii="方正黑体_GBK" w:hAnsi="方正黑体_GBK" w:eastAsia="方正黑体_GBK" w:cs="方正黑体_GBK"/>
                <w:i w:val="0"/>
                <w:iCs w:val="0"/>
                <w:color w:val="000000"/>
                <w:kern w:val="0"/>
                <w:sz w:val="28"/>
                <w:szCs w:val="2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5" w:hRule="atLeast"/>
        </w:trPr>
        <w:tc>
          <w:tcPr>
            <w:tcW w:w="196" w:type="pct"/>
            <w:vMerge w:val="continue"/>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238"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260"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238"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28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282"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419"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525" w:type="pct"/>
            <w:vMerge w:val="continue"/>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569" w:type="pct"/>
            <w:vMerge w:val="continue"/>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282" w:type="pct"/>
            <w:vMerge w:val="continue"/>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243"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203"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ind w:left="0" w:leftChars="0"/>
              <w:jc w:val="center"/>
              <w:rPr>
                <w:rFonts w:hint="eastAsia" w:ascii="方正黑体_GBK" w:hAnsi="方正黑体_GBK" w:eastAsia="方正黑体_GBK" w:cs="方正黑体_GBK"/>
                <w:i w:val="0"/>
                <w:iCs w:val="0"/>
                <w:color w:val="000000"/>
                <w:sz w:val="28"/>
                <w:szCs w:val="28"/>
                <w:u w:val="none"/>
              </w:rPr>
            </w:pPr>
          </w:p>
        </w:tc>
        <w:tc>
          <w:tcPr>
            <w:tcW w:w="171"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小计</w:t>
            </w:r>
          </w:p>
        </w:tc>
        <w:tc>
          <w:tcPr>
            <w:tcW w:w="51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其中：拟申请2025年省级财政农业高质量发展共同财政事权转移支付资金</w:t>
            </w:r>
          </w:p>
        </w:tc>
        <w:tc>
          <w:tcPr>
            <w:tcW w:w="36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jc w:val="center"/>
              <w:textAlignment w:val="center"/>
              <w:rPr>
                <w:rFonts w:hint="eastAsia"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其他（包括镇村自筹等）</w:t>
            </w:r>
          </w:p>
        </w:tc>
        <w:tc>
          <w:tcPr>
            <w:tcW w:w="212" w:type="pct"/>
            <w:vMerge w:val="continue"/>
            <w:tcBorders>
              <w:left w:val="nil"/>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center"/>
              <w:textAlignment w:val="center"/>
              <w:rPr>
                <w:rFonts w:hint="eastAsia" w:ascii="方正黑体_GBK" w:hAnsi="方正黑体_GBK" w:eastAsia="方正黑体_GBK" w:cs="方正黑体_GBK"/>
                <w:i w:val="0"/>
                <w:iCs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0" w:hRule="atLeast"/>
        </w:trPr>
        <w:tc>
          <w:tcPr>
            <w:tcW w:w="1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3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6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3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419"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kinsoku/>
              <w:wordWrap/>
              <w:overflowPunct/>
              <w:topLinePunct w:val="0"/>
              <w:autoSpaceDE/>
              <w:autoSpaceDN/>
              <w:bidi w:val="0"/>
              <w:spacing w:line="600" w:lineRule="exact"/>
              <w:ind w:left="0" w:leftChars="0"/>
              <w:rPr>
                <w:rFonts w:hint="default" w:ascii="Times New Roman" w:hAnsi="Times New Roman" w:eastAsia="宋体" w:cs="Times New Roman"/>
                <w:i w:val="0"/>
                <w:iCs w:val="0"/>
                <w:color w:val="000000"/>
                <w:sz w:val="36"/>
                <w:szCs w:val="36"/>
                <w:u w:val="none"/>
              </w:rPr>
            </w:pPr>
          </w:p>
        </w:tc>
        <w:tc>
          <w:tcPr>
            <w:tcW w:w="525" w:type="pct"/>
            <w:tcBorders>
              <w:top w:val="single" w:color="auto" w:sz="4" w:space="0"/>
              <w:left w:val="single" w:color="auto" w:sz="4" w:space="0"/>
              <w:bottom w:val="single" w:color="auto"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569" w:type="pct"/>
            <w:tcBorders>
              <w:top w:val="single" w:color="auto" w:sz="4" w:space="0"/>
              <w:left w:val="nil"/>
              <w:bottom w:val="single" w:color="auto" w:sz="4" w:space="0"/>
              <w:right w:val="nil"/>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82"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43"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1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51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36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c>
          <w:tcPr>
            <w:tcW w:w="2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ind w:left="0" w:leftChars="0"/>
              <w:jc w:val="left"/>
              <w:textAlignment w:val="center"/>
              <w:rPr>
                <w:rFonts w:hint="default" w:ascii="Times New Roman" w:hAnsi="Times New Roman" w:eastAsia="宋体" w:cs="Times New Roman"/>
                <w:i w:val="0"/>
                <w:iCs w:val="0"/>
                <w:color w:val="000000"/>
                <w:sz w:val="36"/>
                <w:szCs w:val="36"/>
                <w:u w:val="none"/>
              </w:rPr>
            </w:pPr>
          </w:p>
        </w:tc>
      </w:tr>
    </w:tbl>
    <w:p/>
    <w:p>
      <w:bookmarkStart w:id="0" w:name="_GoBack"/>
      <w:bookmarkEnd w:id="0"/>
    </w:p>
    <w:sectPr>
      <w:footerReference r:id="rId3" w:type="default"/>
      <w:pgSz w:w="16838" w:h="11906" w:orient="landscape"/>
      <w:pgMar w:top="1531" w:right="1440" w:bottom="1304" w:left="1440"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2000000000000000000"/>
    <w:charset w:val="86"/>
    <w:family w:val="auto"/>
    <w:pitch w:val="default"/>
    <w:sig w:usb0="00000001" w:usb1="08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right" w:pos="9071"/>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 xml:space="preserve"> —</w:t>
                    </w:r>
                  </w:p>
                </w:txbxContent>
              </v:textbox>
            </v:shape>
          </w:pict>
        </mc:Fallback>
      </mc:AlternateContent>
    </w:r>
    <w:r>
      <w:rPr>
        <w:rFonts w:hint="eastAsia"/>
        <w:lang w:eastAsia="zh-CN"/>
      </w:rPr>
      <w:tab/>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F00FDF"/>
    <w:rsid w:val="70F00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1"/>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next w:val="1"/>
    <w:uiPriority w:val="0"/>
    <w:pPr>
      <w:ind w:firstLine="420" w:firstLineChars="200"/>
    </w:pPr>
    <w:rPr>
      <w:rFonts w:ascii="Times New Roman" w:hAnsi="Times New Roman"/>
      <w:szCs w:val="24"/>
    </w:rPr>
  </w:style>
  <w:style w:type="paragraph" w:styleId="3">
    <w:name w:val="Body Text Indent"/>
    <w:basedOn w:val="1"/>
    <w:next w:val="4"/>
    <w:qFormat/>
    <w:uiPriority w:val="0"/>
    <w:pPr>
      <w:spacing w:after="120"/>
      <w:ind w:left="420" w:leftChars="200"/>
    </w:pPr>
  </w:style>
  <w:style w:type="paragraph" w:styleId="4">
    <w:name w:val="Normal Indent"/>
    <w:basedOn w:val="1"/>
    <w:next w:val="1"/>
    <w:qFormat/>
    <w:uiPriority w:val="0"/>
    <w:pPr>
      <w:ind w:firstLine="420" w:firstLine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2025-01-23T02:32:00Z</dcterms:created>
  <dc:creator>jeyal</dc:creator>
  <cp:lastModifiedBy>jeyal</cp:lastModifiedBy>
  <dcterms:modified xsi:type="dcterms:W3CDTF">2025-01-23T02:32:47Z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4CFE6087700E4C0EAE7B208874A2EA7E</vt:lpwstr>
  </property>
</Properties>
</file>