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附件4</w:t>
      </w:r>
    </w:p>
    <w:p>
      <w:pPr>
        <w:pStyle w:val="2"/>
        <w:rPr>
          <w:rFonts w:hint="eastAsia" w:ascii="黑体" w:hAnsi="黑体" w:eastAsia="黑体"/>
          <w:sz w:val="32"/>
          <w:szCs w:val="32"/>
        </w:rPr>
      </w:pPr>
    </w:p>
    <w:p>
      <w:pPr>
        <w:adjustRightInd w:val="0"/>
        <w:snapToGrid w:val="0"/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kern w:val="0"/>
          <w:sz w:val="43"/>
          <w:szCs w:val="43"/>
          <w:lang w:bidi="ar"/>
        </w:rPr>
      </w:pPr>
      <w:r>
        <w:rPr>
          <w:rFonts w:ascii="方正小标宋简体" w:hAnsi="方正小标宋简体" w:eastAsia="方正小标宋简体" w:cs="方正小标宋简体"/>
          <w:kern w:val="0"/>
          <w:sz w:val="43"/>
          <w:szCs w:val="43"/>
          <w:lang w:bidi="ar"/>
        </w:rPr>
        <w:t>畜牧业发展补短板</w:t>
      </w:r>
      <w:r>
        <w:rPr>
          <w:rFonts w:hint="eastAsia" w:ascii="方正小标宋简体" w:hAnsi="方正小标宋简体" w:eastAsia="方正小标宋简体" w:cs="方正小标宋简体"/>
          <w:kern w:val="0"/>
          <w:sz w:val="43"/>
          <w:szCs w:val="43"/>
          <w:lang w:bidi="ar"/>
        </w:rPr>
        <w:t>项目储备指南</w:t>
      </w:r>
    </w:p>
    <w:p>
      <w:pPr>
        <w:pStyle w:val="5"/>
        <w:spacing w:after="0" w:line="540" w:lineRule="exact"/>
        <w:ind w:left="0" w:leftChars="0" w:firstLine="860"/>
        <w:rPr>
          <w:rFonts w:hint="eastAsia" w:ascii="方正小标宋简体" w:hAnsi="方正小标宋简体" w:eastAsia="方正小标宋简体" w:cs="方正小标宋简体"/>
          <w:kern w:val="0"/>
          <w:sz w:val="43"/>
          <w:szCs w:val="43"/>
          <w:lang w:bidi="ar"/>
        </w:rPr>
      </w:pPr>
    </w:p>
    <w:p>
      <w:pPr>
        <w:spacing w:line="59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一、建设内容</w:t>
      </w:r>
    </w:p>
    <w:p>
      <w:pPr>
        <w:spacing w:line="59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项目重点支持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生猪、肉牛、肉羊、家禽、肉兔等</w:t>
      </w:r>
      <w:r>
        <w:rPr>
          <w:rFonts w:hint="eastAsia" w:ascii="仿宋_GB2312" w:hAnsi="仿宋_GB2312" w:eastAsia="仿宋_GB2312" w:cs="仿宋_GB2312"/>
          <w:sz w:val="32"/>
          <w:szCs w:val="32"/>
        </w:rPr>
        <w:t>畜禽养殖现代化建设，新建或改扩建畜禽养殖场。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建设内容包括</w:t>
      </w:r>
      <w:r>
        <w:rPr>
          <w:rFonts w:eastAsia="仿宋_GB2312" w:cs="仿宋_GB2312"/>
          <w:bCs/>
          <w:sz w:val="32"/>
          <w:szCs w:val="32"/>
        </w:rPr>
        <w:t>标准化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现代化畜禽养殖</w:t>
      </w:r>
      <w:r>
        <w:rPr>
          <w:rFonts w:eastAsia="仿宋_GB2312" w:cs="仿宋_GB2312"/>
          <w:bCs/>
          <w:sz w:val="32"/>
          <w:szCs w:val="32"/>
        </w:rPr>
        <w:t>场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建设、</w:t>
      </w:r>
      <w:r>
        <w:rPr>
          <w:rFonts w:eastAsia="仿宋_GB2312" w:cs="仿宋_GB2312"/>
          <w:sz w:val="32"/>
          <w:szCs w:val="32"/>
        </w:rPr>
        <w:t>提档升级生产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设施</w:t>
      </w:r>
      <w:r>
        <w:rPr>
          <w:rFonts w:eastAsia="仿宋_GB2312" w:cs="仿宋_GB2312"/>
          <w:sz w:val="32"/>
          <w:szCs w:val="32"/>
        </w:rPr>
        <w:t>装备</w:t>
      </w:r>
      <w:r>
        <w:rPr>
          <w:rFonts w:hint="eastAsia" w:ascii="仿宋_GB2312" w:hAnsi="仿宋_GB2312" w:eastAsia="仿宋_GB2312" w:cs="仿宋_GB2312"/>
          <w:sz w:val="32"/>
          <w:szCs w:val="32"/>
        </w:rPr>
        <w:t>、数字化建设、优势特色品牌建设等。</w:t>
      </w:r>
    </w:p>
    <w:p>
      <w:pPr>
        <w:spacing w:line="59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二、实施单位</w:t>
      </w:r>
    </w:p>
    <w:p>
      <w:pPr>
        <w:spacing w:line="59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项目实施单位为</w:t>
      </w:r>
      <w:r>
        <w:rPr>
          <w:rFonts w:hint="eastAsia" w:ascii="仿宋_GB2312" w:hAnsi="仿宋" w:eastAsia="仿宋_GB2312" w:cs="仿宋_GB2312"/>
          <w:color w:val="000000"/>
          <w:sz w:val="32"/>
          <w:szCs w:val="32"/>
        </w:rPr>
        <w:t>成都市行政区域内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畜禽规模养殖场（包括</w:t>
      </w:r>
      <w:r>
        <w:rPr>
          <w:rFonts w:eastAsia="仿宋_GB2312" w:cs="仿宋_GB2312"/>
          <w:bCs/>
          <w:sz w:val="32"/>
          <w:szCs w:val="32"/>
        </w:rPr>
        <w:t>家庭农场、农民合作社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等新型经营主体）、产业发展龙头企业等，</w:t>
      </w:r>
      <w:r>
        <w:rPr>
          <w:rFonts w:hint="eastAsia" w:eastAsia="仿宋_GB2312" w:cs="仿宋_GB2312"/>
          <w:sz w:val="32"/>
          <w:szCs w:val="32"/>
        </w:rPr>
        <w:t>需在农业农村部直联直报系统备案，</w:t>
      </w:r>
      <w:r>
        <w:rPr>
          <w:rFonts w:hint="eastAsia" w:eastAsia="仿宋_GB2312"/>
          <w:sz w:val="32"/>
          <w:szCs w:val="32"/>
        </w:rPr>
        <w:t>应达到各类畜禽规模养殖标准或建成后达到规模养殖标准。</w:t>
      </w:r>
    </w:p>
    <w:p>
      <w:pPr>
        <w:spacing w:line="59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三、补助标准</w:t>
      </w:r>
    </w:p>
    <w:p>
      <w:pPr>
        <w:spacing w:line="59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bCs/>
          <w:sz w:val="32"/>
          <w:szCs w:val="32"/>
        </w:rPr>
        <w:t>财政资金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对</w:t>
      </w:r>
      <w:r>
        <w:rPr>
          <w:rFonts w:ascii="仿宋_GB2312" w:hAnsi="仿宋_GB2312" w:eastAsia="仿宋_GB2312" w:cs="仿宋_GB2312"/>
          <w:bCs/>
          <w:sz w:val="32"/>
          <w:szCs w:val="32"/>
        </w:rPr>
        <w:t>单个项目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补助</w:t>
      </w:r>
      <w:r>
        <w:rPr>
          <w:rFonts w:ascii="仿宋_GB2312" w:hAnsi="仿宋_GB2312" w:eastAsia="仿宋_GB2312" w:cs="仿宋_GB2312"/>
          <w:bCs/>
          <w:sz w:val="32"/>
          <w:szCs w:val="32"/>
        </w:rPr>
        <w:t>不超过项目总投资的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3</w:t>
      </w:r>
      <w:r>
        <w:rPr>
          <w:rFonts w:ascii="仿宋_GB2312" w:hAnsi="仿宋_GB2312" w:eastAsia="仿宋_GB2312" w:cs="仿宋_GB2312"/>
          <w:bCs/>
          <w:sz w:val="32"/>
          <w:szCs w:val="32"/>
        </w:rPr>
        <w:t>0%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，最高补助300万元。</w:t>
      </w:r>
    </w:p>
    <w:p>
      <w:pPr>
        <w:spacing w:line="59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四、建设期限</w:t>
      </w:r>
    </w:p>
    <w:p>
      <w:pPr>
        <w:adjustRightInd w:val="0"/>
        <w:snapToGrid w:val="0"/>
        <w:spacing w:line="540" w:lineRule="exact"/>
        <w:ind w:firstLine="640" w:firstLineChars="200"/>
        <w:rPr>
          <w:rFonts w:hint="eastAsia" w:ascii="楷体_GB2312" w:hAnsi="楷体_GB2312" w:eastAsia="楷体_GB2312" w:cs="楷体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项目需在2025年11月底前完成建设、验收和财政资金拨付。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NiZWFiNzA3OTVlY2NlZjJmNzhmMTkwMjYwMGJjZGMifQ=="/>
  </w:docVars>
  <w:rsids>
    <w:rsidRoot w:val="4DC83D6B"/>
    <w:rsid w:val="4DC8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/>
      <w:szCs w:val="21"/>
    </w:rPr>
  </w:style>
  <w:style w:type="paragraph" w:customStyle="1" w:styleId="5">
    <w:name w:val="BodyText1I2"/>
    <w:basedOn w:val="1"/>
    <w:next w:val="1"/>
    <w:qFormat/>
    <w:uiPriority w:val="0"/>
    <w:pPr>
      <w:suppressAutoHyphens/>
      <w:spacing w:after="120"/>
      <w:ind w:left="420" w:leftChars="200" w:firstLine="420" w:firstLineChars="200"/>
      <w:textAlignment w:val="baseline"/>
    </w:pPr>
    <w:rPr>
      <w:rFonts w:ascii="Calibri" w:hAnsi="Calibri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2024-07-03T07:30:00Z</dcterms:created>
  <dc:creator>既无风雨也无晴</dc:creator>
  <cp:lastModifiedBy>既无风雨也无晴</cp:lastModifiedBy>
  <dcterms:modified xsi:type="dcterms:W3CDTF">2024-07-03T07:36:00Z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ED56EE8A9DE54F408B7644AB22EE75BD_11</vt:lpwstr>
  </property>
</Properties>
</file>