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成都</w:t>
      </w: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东部新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区</w:t>
      </w: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战略研究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局</w:t>
      </w:r>
    </w:p>
    <w:p>
      <w:pPr>
        <w:jc w:val="center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孵化载体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认定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管理办法</w:t>
      </w:r>
    </w:p>
    <w:p>
      <w:pPr>
        <w:jc w:val="center"/>
        <w:rPr>
          <w:rFonts w:hint="eastAsia" w:ascii="Times New Roman" w:hAnsi="Times New Roman" w:eastAsia="方正小标宋简体" w:cs="Times New Roman"/>
          <w:sz w:val="44"/>
          <w:szCs w:val="44"/>
          <w:lang w:eastAsia="zh-CN"/>
        </w:rPr>
      </w:pPr>
      <w:r>
        <w:rPr>
          <w:rFonts w:hint="eastAsia" w:ascii="Times New Roman" w:hAnsi="Times New Roman" w:eastAsia="方正小标宋简体" w:cs="Times New Roman"/>
          <w:sz w:val="44"/>
          <w:szCs w:val="44"/>
          <w:lang w:eastAsia="zh-CN"/>
        </w:rPr>
        <w:t>（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征求意见稿</w:t>
      </w:r>
      <w:r>
        <w:rPr>
          <w:rFonts w:hint="eastAsia" w:ascii="Times New Roman" w:hAnsi="Times New Roman" w:eastAsia="方正小标宋简体" w:cs="Times New Roman"/>
          <w:sz w:val="44"/>
          <w:szCs w:val="44"/>
          <w:lang w:eastAsia="zh-CN"/>
        </w:rPr>
        <w:t>）</w:t>
      </w:r>
    </w:p>
    <w:p>
      <w:pPr>
        <w:jc w:val="center"/>
        <w:rPr>
          <w:rFonts w:hint="default" w:ascii="Times New Roman" w:hAnsi="Times New Roman" w:eastAsia="方正黑体_GBK" w:cs="Times New Roman"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sz w:val="32"/>
          <w:szCs w:val="32"/>
        </w:rPr>
        <w:t>第一章  总则</w:t>
      </w:r>
    </w:p>
    <w:p>
      <w:pPr>
        <w:ind w:firstLine="643" w:firstLineChars="200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/>
          <w:bCs/>
          <w:sz w:val="32"/>
          <w:szCs w:val="32"/>
        </w:rPr>
        <w:t>第一条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 成都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东部新区战略研究局</w:t>
      </w:r>
      <w:r>
        <w:rPr>
          <w:rFonts w:hint="default" w:ascii="Times New Roman" w:hAnsi="Times New Roman" w:eastAsia="方正仿宋_GBK" w:cs="Times New Roman"/>
          <w:sz w:val="32"/>
          <w:szCs w:val="32"/>
          <w:shd w:val="clear" w:color="auto" w:fill="auto"/>
        </w:rPr>
        <w:t>为贯彻落实国务院《关于推动创新创业高质量发展打造</w:t>
      </w:r>
      <w:r>
        <w:rPr>
          <w:rFonts w:hint="eastAsia" w:ascii="Times New Roman" w:hAnsi="Times New Roman" w:eastAsia="方正仿宋_GBK" w:cs="Times New Roman"/>
          <w:sz w:val="32"/>
          <w:szCs w:val="32"/>
          <w:shd w:val="clear" w:color="auto" w:fill="auto"/>
          <w:lang w:eastAsia="zh-CN"/>
        </w:rPr>
        <w:t>“</w:t>
      </w:r>
      <w:r>
        <w:rPr>
          <w:rFonts w:hint="default" w:ascii="Times New Roman" w:hAnsi="Times New Roman" w:eastAsia="方正仿宋_GBK" w:cs="Times New Roman"/>
          <w:sz w:val="32"/>
          <w:szCs w:val="32"/>
          <w:shd w:val="clear" w:color="auto" w:fill="auto"/>
        </w:rPr>
        <w:t>双创</w:t>
      </w:r>
      <w:r>
        <w:rPr>
          <w:rFonts w:hint="eastAsia" w:ascii="Times New Roman" w:hAnsi="Times New Roman" w:eastAsia="方正仿宋_GBK" w:cs="Times New Roman"/>
          <w:sz w:val="32"/>
          <w:szCs w:val="32"/>
          <w:shd w:val="clear" w:color="auto" w:fill="auto"/>
          <w:lang w:eastAsia="zh-CN"/>
        </w:rPr>
        <w:t>”</w:t>
      </w:r>
      <w:r>
        <w:rPr>
          <w:rFonts w:hint="default" w:ascii="Times New Roman" w:hAnsi="Times New Roman" w:eastAsia="方正仿宋_GBK" w:cs="Times New Roman"/>
          <w:sz w:val="32"/>
          <w:szCs w:val="32"/>
          <w:shd w:val="clear" w:color="auto" w:fill="auto"/>
        </w:rPr>
        <w:t>升级版的意见》</w:t>
      </w:r>
      <w:r>
        <w:rPr>
          <w:rFonts w:hint="eastAsia" w:ascii="Times New Roman" w:hAnsi="Times New Roman" w:eastAsia="方正仿宋_GBK" w:cs="Times New Roman"/>
          <w:sz w:val="32"/>
          <w:szCs w:val="32"/>
          <w:shd w:val="clear" w:color="auto" w:fill="auto"/>
          <w:lang w:val="en-US" w:eastAsia="zh-CN"/>
        </w:rPr>
        <w:t>和中共成都市委成都市人民政府</w:t>
      </w:r>
      <w:r>
        <w:rPr>
          <w:rFonts w:hint="default" w:ascii="Times New Roman" w:hAnsi="Times New Roman" w:eastAsia="方正仿宋_GBK" w:cs="Times New Roman"/>
          <w:sz w:val="32"/>
          <w:szCs w:val="32"/>
          <w:shd w:val="clear" w:color="auto" w:fill="auto"/>
        </w:rPr>
        <w:t>《成都市进一步有力有效推动科技成果转化的若干政策措施》精神，为深入推进创新驱动发展战略</w:t>
      </w:r>
      <w:r>
        <w:rPr>
          <w:rFonts w:hint="eastAsia" w:ascii="Times New Roman" w:hAnsi="Times New Roman" w:eastAsia="方正仿宋_GBK" w:cs="Times New Roman"/>
          <w:sz w:val="32"/>
          <w:szCs w:val="32"/>
          <w:shd w:val="clear" w:color="auto" w:fill="auto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引导成都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东部新区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孵化载体高质量发展，特制定本办法。</w:t>
      </w:r>
    </w:p>
    <w:p>
      <w:pPr>
        <w:ind w:firstLine="643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/>
          <w:bCs/>
          <w:sz w:val="32"/>
          <w:szCs w:val="32"/>
        </w:rPr>
        <w:t>第二条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 本办法所称成都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东部新区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孵化载体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以下简称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孵化载体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”</w:t>
      </w:r>
      <w:bookmarkStart w:id="0" w:name="_GoBack"/>
      <w:bookmarkEnd w:id="0"/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是指在成都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东部新区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注册的具有独立法人资格的企事业单位、社会团体、民办非企业单位运营管理的，为实施创新驱动发展战略、推进大众创业万众创新提供全方位、专业化服务，以释放全社会创新创业活力、加快科技成果向现实生产力转化、培育战略性新兴产业源头企业、培养创业领军人才、增强实体经济发展新动能为宗旨的众创空间、科技企业孵化器和具备孵化功能的其它载体。</w:t>
      </w:r>
    </w:p>
    <w:p>
      <w:pPr>
        <w:ind w:firstLine="643" w:firstLineChars="200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/>
          <w:bCs/>
          <w:sz w:val="32"/>
          <w:szCs w:val="32"/>
        </w:rPr>
        <w:t>第三条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 众创空间是指以科技创业企业或团队为服务对象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在一定期限内免费提供办公场地和基本的创业服务，帮助科技创业团队将科技成果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创意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实施转化并创办企业的科技创业服务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载体或具备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投资+孵化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功能的新型孵化载体。</w:t>
      </w:r>
    </w:p>
    <w:p>
      <w:pPr>
        <w:ind w:firstLine="643" w:firstLineChars="200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/>
          <w:bCs/>
          <w:sz w:val="32"/>
          <w:szCs w:val="32"/>
          <w:lang w:eastAsia="zh-CN"/>
        </w:rPr>
        <w:t>第四条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 xml:space="preserve"> 科技企业孵化器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以下简称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孵化器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”）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是以促进科技成果转化，培育科技企业和企业家精神为宗旨，提供物理空间、共享设施和专业化服务的科技创业服务机构。</w:t>
      </w:r>
    </w:p>
    <w:p>
      <w:pPr>
        <w:ind w:firstLine="643" w:firstLineChars="200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/>
          <w:bCs/>
          <w:sz w:val="32"/>
          <w:szCs w:val="32"/>
          <w:lang w:eastAsia="zh-CN"/>
        </w:rPr>
        <w:t>第五条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 xml:space="preserve">  成都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东部新区战略研究局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对全区孵化载体工作进行宏观管理和业务指导。</w:t>
      </w:r>
    </w:p>
    <w:p>
      <w:pPr>
        <w:jc w:val="center"/>
        <w:rPr>
          <w:rFonts w:hint="default" w:ascii="Times New Roman" w:hAnsi="Times New Roman" w:eastAsia="方正黑体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黑体_GBK" w:cs="Times New Roman"/>
          <w:sz w:val="32"/>
          <w:szCs w:val="32"/>
          <w:lang w:eastAsia="zh-CN"/>
        </w:rPr>
        <w:t>第二章  认定条件</w:t>
      </w:r>
    </w:p>
    <w:p>
      <w:pPr>
        <w:ind w:firstLine="643" w:firstLineChars="200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/>
          <w:bCs/>
          <w:sz w:val="32"/>
          <w:szCs w:val="32"/>
          <w:lang w:eastAsia="zh-CN"/>
        </w:rPr>
        <w:t>第六条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 xml:space="preserve">  申请认定为成都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东部新区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众创空间应具备以下条件：</w:t>
      </w:r>
    </w:p>
    <w:p>
      <w:pPr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一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众创空间运营机构具有独立法人资格，工商、税收和统计关系在成都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东部新区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，运营机构工商注册时间和孵化载体实际运营时间已满6个月；</w:t>
      </w:r>
    </w:p>
    <w:p>
      <w:pPr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二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发展方向明确，能够动态统计和管理入驻科技创业团队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企业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运行情况、发展需求等相关信息，并按要求上报；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 xml:space="preserve"> </w:t>
      </w:r>
    </w:p>
    <w:p>
      <w:pPr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三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可自主支配场地面积不低于500平方米，能够提供电话、网络接入、办公桌椅等基本办公设施和会议室、展示室、路演厅等公共服务场地，入驻的科技创业团队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企业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不少于5个，科技创业团队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企业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所研发的项目应符合成都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东部新区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产业的发展要求；</w:t>
      </w:r>
    </w:p>
    <w:p>
      <w:pPr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四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建培训服务及基本的法律、会计、知识产权等服务，常态化组织项目路演等创新创业活动。</w:t>
      </w:r>
    </w:p>
    <w:p>
      <w:pPr>
        <w:ind w:firstLine="643" w:firstLineChars="200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/>
          <w:bCs/>
          <w:sz w:val="32"/>
          <w:szCs w:val="32"/>
          <w:lang w:eastAsia="zh-CN"/>
        </w:rPr>
        <w:t>第七条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 xml:space="preserve"> 孵化器分为专业孵化器和综合孵化器，申请认定应具备以下条件：</w:t>
      </w:r>
    </w:p>
    <w:p>
      <w:pPr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一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专业孵化器认定条件：</w:t>
      </w:r>
    </w:p>
    <w:p>
      <w:pPr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1.专业孵化器运营机构具有独立法人资格，工商、税收和统计关系在成都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东部新区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；</w:t>
      </w:r>
    </w:p>
    <w:p>
      <w:pPr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2.发展方向明确，能够动态统计和管理入驻科技创业企业运行情况、发展需求等相关信息，并按要求上报；</w:t>
      </w:r>
    </w:p>
    <w:p>
      <w:pPr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3.可自主支配场地面积不低于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000平方米，其中规划在孵企业使用的场地面积占场地总面积的75%以上，在孵企业应同时具备下列条件：①所从事研发、生产的主营项目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产品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），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知识产权权属清晰，且符合国家政策鼓励发展的、成都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东部新区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产业的发展要求。②主要研发、办公场所在孵化器内，上年营业收入一般不超过200万元，入驻时成立时间不超过24个月。③在孵时限一般不超过48个月，技术领域为生物医药、现代农业、集成电路的企业，孵化时限不超过60个月，租用孵化场地面积应低于1000平方米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生物医药、航空航天等特殊领域除外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）；</w:t>
      </w:r>
    </w:p>
    <w:p>
      <w:pPr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4.形成了较完善的孵化服务体系和创业导师工作机制，能够提供创业咨询、培训、辅导服务以及政策、法律、财务、投融资、知识产权、企业管理、人力资源、市场推广、信息咨询等服务，常态化组织项目路演等创新创业活动；</w:t>
      </w:r>
    </w:p>
    <w:p>
      <w:pPr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5.</w:t>
      </w:r>
      <w:r>
        <w:rPr>
          <w:rFonts w:hint="default" w:ascii="Times New Roman" w:hAnsi="Times New Roman" w:eastAsia="方正仿宋_GBK" w:cs="Times New Roman"/>
          <w:sz w:val="32"/>
          <w:szCs w:val="32"/>
          <w:shd w:val="clear" w:color="auto" w:fill="auto"/>
          <w:lang w:eastAsia="zh-CN"/>
        </w:rPr>
        <w:t>聚焦成都</w:t>
      </w:r>
      <w:r>
        <w:rPr>
          <w:rFonts w:hint="eastAsia" w:ascii="Times New Roman" w:hAnsi="Times New Roman" w:eastAsia="方正仿宋_GBK" w:cs="Times New Roman"/>
          <w:sz w:val="32"/>
          <w:szCs w:val="32"/>
          <w:shd w:val="clear" w:color="auto" w:fill="auto"/>
          <w:lang w:eastAsia="zh-CN"/>
        </w:rPr>
        <w:t>东部新区</w:t>
      </w:r>
      <w:r>
        <w:rPr>
          <w:rFonts w:hint="default" w:ascii="Times New Roman" w:hAnsi="Times New Roman" w:eastAsia="方正仿宋_GBK" w:cs="Times New Roman"/>
          <w:sz w:val="32"/>
          <w:szCs w:val="32"/>
          <w:shd w:val="clear" w:color="auto" w:fill="auto"/>
          <w:lang w:eastAsia="zh-CN"/>
        </w:rPr>
        <w:t>主导产业，</w:t>
      </w:r>
      <w:r>
        <w:rPr>
          <w:rFonts w:hint="eastAsia" w:ascii="Times New Roman" w:hAnsi="Times New Roman" w:eastAsia="方正仿宋_GBK" w:cs="Times New Roman"/>
          <w:sz w:val="32"/>
          <w:szCs w:val="32"/>
          <w:shd w:val="clear" w:color="auto" w:fill="auto"/>
          <w:lang w:val="en-US" w:eastAsia="zh-CN"/>
        </w:rPr>
        <w:t>符合东部新区“</w:t>
      </w:r>
      <w:r>
        <w:rPr>
          <w:rFonts w:hint="default" w:ascii="Times New Roman" w:hAnsi="Times New Roman" w:eastAsia="方正仿宋_GBK" w:cs="Times New Roman"/>
          <w:sz w:val="32"/>
          <w:szCs w:val="32"/>
          <w:shd w:val="clear" w:color="auto" w:fill="auto"/>
          <w:lang w:eastAsia="zh-CN"/>
        </w:rPr>
        <w:t>345+9</w:t>
      </w:r>
      <w:r>
        <w:rPr>
          <w:rFonts w:hint="eastAsia" w:ascii="Times New Roman" w:hAnsi="Times New Roman" w:eastAsia="方正仿宋_GBK" w:cs="Times New Roman"/>
          <w:sz w:val="32"/>
          <w:szCs w:val="32"/>
          <w:shd w:val="clear" w:color="auto" w:fill="auto"/>
          <w:lang w:eastAsia="zh-CN"/>
        </w:rPr>
        <w:t>”</w:t>
      </w:r>
      <w:r>
        <w:rPr>
          <w:rFonts w:hint="default" w:ascii="Times New Roman" w:hAnsi="Times New Roman" w:eastAsia="方正仿宋_GBK" w:cs="Times New Roman"/>
          <w:sz w:val="32"/>
          <w:szCs w:val="32"/>
          <w:shd w:val="clear" w:color="auto" w:fill="auto"/>
          <w:lang w:eastAsia="zh-CN"/>
        </w:rPr>
        <w:t>现代化产业</w:t>
      </w:r>
      <w:r>
        <w:rPr>
          <w:rFonts w:hint="eastAsia" w:ascii="Times New Roman" w:hAnsi="Times New Roman" w:eastAsia="方正仿宋_GBK" w:cs="Times New Roman"/>
          <w:sz w:val="32"/>
          <w:szCs w:val="32"/>
          <w:shd w:val="clear" w:color="auto" w:fill="auto"/>
          <w:lang w:val="en-US" w:eastAsia="zh-CN"/>
        </w:rPr>
        <w:t>体系</w:t>
      </w:r>
      <w:r>
        <w:rPr>
          <w:rStyle w:val="7"/>
          <w:rFonts w:hint="eastAsia" w:ascii="Times New Roman" w:hAnsi="Times New Roman" w:eastAsia="方正仿宋_GBK" w:cs="Times New Roman"/>
          <w:sz w:val="32"/>
          <w:szCs w:val="32"/>
          <w:shd w:val="clear" w:color="auto" w:fill="auto"/>
          <w:lang w:val="en-US" w:eastAsia="zh-CN"/>
        </w:rPr>
        <w:footnoteReference w:id="0"/>
      </w:r>
      <w:r>
        <w:rPr>
          <w:rFonts w:hint="eastAsia" w:ascii="Times New Roman" w:hAnsi="Times New Roman" w:eastAsia="方正仿宋_GBK" w:cs="Times New Roman"/>
          <w:sz w:val="32"/>
          <w:szCs w:val="32"/>
          <w:shd w:val="clear" w:color="auto" w:fill="auto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主营业务与孵化器专业定位一致的入驻企业数量占入驻总数60%及以上或其使用面积占场地总面积的60%及以上；</w:t>
      </w:r>
    </w:p>
    <w:p>
      <w:pPr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6.拥有可自主支配的公共技术服务平台，能够提供研究开发、检验检测、小试中试等专业技术服务。</w:t>
      </w:r>
    </w:p>
    <w:p>
      <w:pPr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二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综合孵化器认定条件：</w:t>
      </w:r>
    </w:p>
    <w:p>
      <w:pPr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1.孵化器运营机构具有独立法人资格，工商、税收和统计关系在成都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东部新区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，运营机构工商注册时间和孵化载体实际运营时间已满6个月；</w:t>
      </w:r>
    </w:p>
    <w:p>
      <w:pPr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2.发展方向明确，能够动态统计和管理入驻科技创业企业运行情况、发展需求等相关信息，并按要求上报；</w:t>
      </w:r>
    </w:p>
    <w:p>
      <w:pPr>
        <w:ind w:firstLine="640" w:firstLineChars="200"/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3.在孵企业应同时具备下列条件：①所从事研发、生产的主营项目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产品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），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知识产权权属清晰，且符合国家政策鼓励发展的、成都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东部新区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产业的发展要求。②主要研发、办公场所在孵化器内，上年营业收入一般不超过200万元，入驻时成立时间不超过24个月。③在孵时限一般不超过48个月，技术领域为生物医药、现代农业、集成电路的企业，孵化时限不超过60个月，租用孵化场地面积应低于1000平方米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生物医药、航空航天等特殊领域除外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）；</w:t>
      </w:r>
    </w:p>
    <w:p>
      <w:pPr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4.可自主支配场地面积不低于5000平方米，其中在孵企业使用的场地面积占场地总面积的75%以上，入驻企业不低于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1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5家；</w:t>
      </w:r>
    </w:p>
    <w:p>
      <w:pPr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5.形成了创业导师工作机制和服务体系，能够提供创业咨询、培训、辅导服务以及政策、法律、财务、投融资、知识产权、企业管理、人力资源、市场推广、信息咨询等服务，常态化组织项目路演等创新创业活动。</w:t>
      </w:r>
    </w:p>
    <w:p>
      <w:pPr>
        <w:ind w:firstLine="643" w:firstLineChars="200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/>
          <w:bCs/>
          <w:sz w:val="32"/>
          <w:szCs w:val="32"/>
          <w:lang w:eastAsia="zh-CN"/>
        </w:rPr>
        <w:t>第八条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 xml:space="preserve"> 高端人才引领型创新创业载体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认定条件：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孵化载体入驻企业中，国内高校、科研院所在职人员【一般应具备副教授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副研究员、高级工程师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及以上职称，或研究生及以上学历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】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本人或其直系亲属曾经在四川生活、学习、工作经历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一般应具备国内经济发达地区知名企业工作经历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），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有过多次成功创业经历或创新创业大赛获奖者，在海外获得本科及以上学历、有海外工作经历、有海外成功创业经历或海外高校访问学者，国家、省、市级人才，国际顶尖人才，大企业高管，高技能人才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高级工程师、国家、省、市技能大赛获奖、优秀工匠等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），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优秀青年人才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本科及以上毕业生、获得其他经认定的优秀称号等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等人才创办的企业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上述人才需是企业的法定代表人或股东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所占比例不低于20%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或者上述人才创办的企业不低于5家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。</w:t>
      </w:r>
    </w:p>
    <w:p>
      <w:pPr>
        <w:jc w:val="center"/>
        <w:rPr>
          <w:rFonts w:hint="default" w:ascii="Times New Roman" w:hAnsi="Times New Roman" w:eastAsia="方正黑体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黑体_GBK" w:cs="Times New Roman"/>
          <w:sz w:val="32"/>
          <w:szCs w:val="32"/>
          <w:lang w:eastAsia="zh-CN"/>
        </w:rPr>
        <w:t>第三章  认定程序</w:t>
      </w:r>
    </w:p>
    <w:p>
      <w:pPr>
        <w:ind w:firstLine="643" w:firstLineChars="200"/>
        <w:rPr>
          <w:rFonts w:hint="default" w:ascii="Times New Roman" w:hAnsi="Times New Roman" w:eastAsia="方正仿宋_GBK" w:cs="Times New Roman"/>
          <w:b/>
          <w:bCs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/>
          <w:bCs/>
          <w:sz w:val="32"/>
          <w:szCs w:val="32"/>
          <w:lang w:eastAsia="zh-CN"/>
        </w:rPr>
        <w:t>第九条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 xml:space="preserve"> 仅对众创空间和孵化器进行认定，具有孵化功能的其它载体不进行单独认定，经核验后纳入成都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东部新区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孵化载体统计范围</w:t>
      </w:r>
      <w:r>
        <w:rPr>
          <w:rFonts w:hint="default" w:ascii="Times New Roman" w:hAnsi="Times New Roman" w:eastAsia="方正仿宋_GBK" w:cs="Times New Roman"/>
          <w:b/>
          <w:bCs/>
          <w:sz w:val="32"/>
          <w:szCs w:val="32"/>
          <w:lang w:eastAsia="zh-CN"/>
        </w:rPr>
        <w:t>。</w:t>
      </w:r>
    </w:p>
    <w:p>
      <w:pPr>
        <w:ind w:firstLine="643" w:firstLineChars="200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/>
          <w:bCs/>
          <w:sz w:val="32"/>
          <w:szCs w:val="32"/>
          <w:lang w:eastAsia="zh-CN"/>
        </w:rPr>
        <w:t>第十条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 xml:space="preserve">  申请认定成都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东部新区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众创空间和孵化器基本程序：</w:t>
      </w:r>
    </w:p>
    <w:p>
      <w:pPr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一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申请单位根据成都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东部新区官方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网络平台或其他相关网络渠道通知公告，准备申请材料，提交至成都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东部新区战略研究局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科技创新处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。</w:t>
      </w:r>
    </w:p>
    <w:p>
      <w:pPr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二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申请材料经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科技创新处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审核通过，并经局办公会议定。</w:t>
      </w:r>
    </w:p>
    <w:p>
      <w:pPr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三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公示3个工作日无异议后认定为成都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东部新区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众创空间或孵化器。</w:t>
      </w:r>
    </w:p>
    <w:p>
      <w:pPr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四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在申报过程中存在弄虚作假行为的，取消其成都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东部新区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众创空间和孵化器认定评审资格，自取消之日起2年内不得再次申报。</w:t>
      </w:r>
    </w:p>
    <w:p>
      <w:pPr>
        <w:ind w:firstLine="643" w:firstLineChars="200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/>
          <w:bCs/>
          <w:sz w:val="32"/>
          <w:szCs w:val="32"/>
          <w:lang w:eastAsia="zh-CN"/>
        </w:rPr>
        <w:t>第十一条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 xml:space="preserve"> 在本办法施行之日前已纳入成都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东部新区战略研究局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统计范围的众创空间或孵化器自动获得成都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东部新区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众创空间或综合孵化器资质认定。</w:t>
      </w:r>
    </w:p>
    <w:p>
      <w:pPr>
        <w:jc w:val="center"/>
        <w:rPr>
          <w:rFonts w:hint="default" w:ascii="Times New Roman" w:hAnsi="Times New Roman" w:eastAsia="方正黑体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黑体_GBK" w:cs="Times New Roman"/>
          <w:sz w:val="32"/>
          <w:szCs w:val="32"/>
          <w:lang w:eastAsia="zh-CN"/>
        </w:rPr>
        <w:t>第四章  动态管理</w:t>
      </w:r>
    </w:p>
    <w:p>
      <w:pPr>
        <w:ind w:firstLine="643" w:firstLineChars="200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/>
          <w:bCs/>
          <w:sz w:val="32"/>
          <w:szCs w:val="32"/>
          <w:lang w:eastAsia="zh-CN"/>
        </w:rPr>
        <w:t>第十二条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 xml:space="preserve">  众创空间和孵化器根据成都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东部新区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孵化载体评价体系开展孵化载体评价工作，评定星级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一星至五星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），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可授予星级众创空间、孵化器称号。对不同星级的孵化载体可按照相关政策给予支持，鼓励孵化载体加强高层次人才引进、梯度企业培育等工作。对连续两次未获得星级的众创空间和孵化器，取消其认定资格，后期根据实际表现可申请重新认定。</w:t>
      </w:r>
    </w:p>
    <w:p>
      <w:pPr>
        <w:ind w:firstLine="643" w:firstLineChars="200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/>
          <w:bCs/>
          <w:sz w:val="32"/>
          <w:szCs w:val="32"/>
          <w:lang w:eastAsia="zh-CN"/>
        </w:rPr>
        <w:t>第十三条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 xml:space="preserve"> 获得专业孵化器认定的载体可优先获得菁蓉汇配套支持，可按市科技局绿色通道报送省级孵化载体认定。</w:t>
      </w:r>
    </w:p>
    <w:p>
      <w:pPr>
        <w:ind w:firstLine="643" w:firstLineChars="200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/>
          <w:bCs/>
          <w:sz w:val="32"/>
          <w:szCs w:val="32"/>
          <w:lang w:eastAsia="zh-CN"/>
        </w:rPr>
        <w:t>第十四条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 xml:space="preserve"> 对有不配合开展统计工作、不及时在网络平台填报数据、不积极参与行业活动、出现异常经营、重大违法乱纪等行为的孵化载体，取消其成都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东部新区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众创空间和孵化器认定资格，后期根据实际表现可申请重新认定。</w:t>
      </w:r>
    </w:p>
    <w:p>
      <w:pPr>
        <w:jc w:val="center"/>
        <w:rPr>
          <w:rFonts w:hint="default" w:ascii="Times New Roman" w:hAnsi="Times New Roman" w:eastAsia="方正黑体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黑体_GBK" w:cs="Times New Roman"/>
          <w:sz w:val="32"/>
          <w:szCs w:val="32"/>
          <w:lang w:eastAsia="zh-CN"/>
        </w:rPr>
        <w:t>第五章  附则</w:t>
      </w:r>
    </w:p>
    <w:p>
      <w:pPr>
        <w:ind w:firstLine="643" w:firstLineChars="200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/>
          <w:bCs/>
          <w:sz w:val="32"/>
          <w:szCs w:val="32"/>
          <w:lang w:eastAsia="zh-CN"/>
        </w:rPr>
        <w:t>第十五条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 xml:space="preserve">  本办法由成都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东部新区战略研究局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负责解释。</w:t>
      </w:r>
    </w:p>
    <w:p>
      <w:pPr>
        <w:ind w:firstLine="643" w:firstLineChars="200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/>
          <w:bCs/>
          <w:sz w:val="32"/>
          <w:szCs w:val="32"/>
          <w:lang w:eastAsia="zh-CN"/>
        </w:rPr>
        <w:t>第十六条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 xml:space="preserve"> 本办法自印发之日起30日以后施行，有效期三年。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美黑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2">
    <w:p>
      <w:r>
        <w:separator/>
      </w:r>
    </w:p>
  </w:footnote>
  <w:footnote w:type="continuationSeparator" w:id="3">
    <w:p>
      <w:r>
        <w:continuationSeparator/>
      </w:r>
    </w:p>
  </w:footnote>
  <w:footnote w:id="0">
    <w:p>
      <w:pPr>
        <w:pStyle w:val="4"/>
        <w:snapToGrid w:val="0"/>
        <w:rPr>
          <w:rFonts w:hint="eastAsia" w:ascii="等线" w:hAnsi="等线" w:eastAsia="等线" w:cs="等线"/>
          <w:sz w:val="18"/>
          <w:szCs w:val="18"/>
          <w:highlight w:val="none"/>
        </w:rPr>
      </w:pPr>
      <w:r>
        <w:rPr>
          <w:rStyle w:val="7"/>
        </w:rPr>
        <w:footnoteRef/>
      </w:r>
      <w:r>
        <w:t xml:space="preserve"> </w:t>
      </w:r>
      <w:r>
        <w:rPr>
          <w:rFonts w:hint="eastAsia" w:ascii="等线" w:hAnsi="等线" w:eastAsia="等线" w:cs="等线"/>
          <w:sz w:val="18"/>
          <w:szCs w:val="18"/>
          <w:highlight w:val="none"/>
        </w:rPr>
        <w:t>3个主导产业</w:t>
      </w:r>
      <w:r>
        <w:rPr>
          <w:rFonts w:hint="eastAsia" w:ascii="等线" w:hAnsi="等线" w:eastAsia="等线" w:cs="等线"/>
          <w:sz w:val="18"/>
          <w:szCs w:val="18"/>
          <w:highlight w:val="none"/>
          <w:lang w:eastAsia="zh-CN"/>
        </w:rPr>
        <w:t>：</w:t>
      </w:r>
      <w:r>
        <w:rPr>
          <w:rFonts w:hint="eastAsia" w:ascii="等线" w:hAnsi="等线" w:eastAsia="等线" w:cs="等线"/>
          <w:sz w:val="18"/>
          <w:szCs w:val="18"/>
          <w:highlight w:val="none"/>
        </w:rPr>
        <w:t>高端装备制造、新能源与智能网联汽车、生物</w:t>
      </w:r>
      <w:r>
        <w:rPr>
          <w:rFonts w:hint="eastAsia" w:ascii="等线" w:hAnsi="等线" w:eastAsia="等线" w:cs="等线"/>
          <w:sz w:val="18"/>
          <w:szCs w:val="18"/>
          <w:highlight w:val="none"/>
          <w:lang w:val="en-US" w:eastAsia="zh-CN"/>
        </w:rPr>
        <w:t>技术</w:t>
      </w:r>
    </w:p>
    <w:p>
      <w:pPr>
        <w:pStyle w:val="4"/>
        <w:snapToGrid w:val="0"/>
        <w:rPr>
          <w:rFonts w:hint="eastAsia" w:ascii="等线" w:hAnsi="等线" w:eastAsia="等线" w:cs="等线"/>
          <w:sz w:val="18"/>
          <w:szCs w:val="18"/>
          <w:highlight w:val="none"/>
        </w:rPr>
      </w:pPr>
      <w:r>
        <w:rPr>
          <w:rFonts w:hint="eastAsia" w:ascii="等线" w:hAnsi="等线" w:eastAsia="等线" w:cs="等线"/>
          <w:sz w:val="18"/>
          <w:szCs w:val="18"/>
          <w:highlight w:val="none"/>
        </w:rPr>
        <w:t>4个特色产业</w:t>
      </w:r>
      <w:r>
        <w:rPr>
          <w:rFonts w:hint="eastAsia" w:ascii="等线" w:hAnsi="等线" w:eastAsia="等线" w:cs="等线"/>
          <w:sz w:val="18"/>
          <w:szCs w:val="18"/>
          <w:highlight w:val="none"/>
          <w:lang w:eastAsia="zh-CN"/>
        </w:rPr>
        <w:t>：</w:t>
      </w:r>
      <w:r>
        <w:rPr>
          <w:rFonts w:hint="eastAsia" w:ascii="等线" w:hAnsi="等线" w:eastAsia="等线" w:cs="等线"/>
          <w:sz w:val="18"/>
          <w:szCs w:val="18"/>
          <w:highlight w:val="none"/>
        </w:rPr>
        <w:t>航空装备、智能制造装备、新能源汽车装置及配件制造、生物医学工程</w:t>
      </w:r>
    </w:p>
    <w:p>
      <w:pPr>
        <w:pStyle w:val="4"/>
        <w:snapToGrid w:val="0"/>
        <w:rPr>
          <w:rFonts w:hint="eastAsia" w:ascii="等线" w:hAnsi="等线" w:eastAsia="等线" w:cs="等线"/>
          <w:sz w:val="18"/>
          <w:szCs w:val="18"/>
          <w:highlight w:val="none"/>
        </w:rPr>
      </w:pPr>
      <w:r>
        <w:rPr>
          <w:rFonts w:hint="eastAsia" w:ascii="等线" w:hAnsi="等线" w:eastAsia="等线" w:cs="等线"/>
          <w:sz w:val="18"/>
          <w:szCs w:val="18"/>
          <w:highlight w:val="none"/>
        </w:rPr>
        <w:t>5个未来产业</w:t>
      </w:r>
      <w:r>
        <w:rPr>
          <w:rFonts w:hint="eastAsia" w:ascii="等线" w:hAnsi="等线" w:eastAsia="等线" w:cs="等线"/>
          <w:sz w:val="18"/>
          <w:szCs w:val="18"/>
          <w:highlight w:val="none"/>
          <w:lang w:eastAsia="zh-CN"/>
        </w:rPr>
        <w:t>：</w:t>
      </w:r>
      <w:r>
        <w:rPr>
          <w:rFonts w:hint="eastAsia" w:ascii="等线" w:hAnsi="等线" w:eastAsia="等线" w:cs="等线"/>
          <w:sz w:val="18"/>
          <w:szCs w:val="18"/>
          <w:highlight w:val="none"/>
        </w:rPr>
        <w:t>新一代无人机、先进计算及数据服务、新型储能、核医学、数字诊断</w:t>
      </w:r>
    </w:p>
    <w:p>
      <w:pPr>
        <w:pStyle w:val="4"/>
        <w:snapToGrid w:val="0"/>
      </w:pPr>
      <w:r>
        <w:rPr>
          <w:rFonts w:hint="eastAsia" w:ascii="等线" w:hAnsi="等线" w:eastAsia="等线" w:cs="等线"/>
          <w:sz w:val="18"/>
          <w:szCs w:val="18"/>
          <w:highlight w:val="none"/>
          <w:lang w:val="en-US" w:eastAsia="zh-CN"/>
        </w:rPr>
        <w:t>9个现代化</w:t>
      </w:r>
      <w:r>
        <w:rPr>
          <w:rFonts w:hint="eastAsia" w:ascii="等线" w:hAnsi="等线" w:eastAsia="等线" w:cs="等线"/>
          <w:sz w:val="18"/>
          <w:szCs w:val="18"/>
          <w:highlight w:val="none"/>
        </w:rPr>
        <w:t>服务业</w:t>
      </w:r>
      <w:r>
        <w:rPr>
          <w:rFonts w:hint="eastAsia" w:ascii="等线" w:hAnsi="等线" w:eastAsia="等线" w:cs="等线"/>
          <w:sz w:val="18"/>
          <w:szCs w:val="18"/>
          <w:highlight w:val="none"/>
          <w:lang w:eastAsia="zh-CN"/>
        </w:rPr>
        <w:t>：</w:t>
      </w:r>
      <w:r>
        <w:rPr>
          <w:rFonts w:hint="eastAsia" w:ascii="等线" w:hAnsi="等线" w:eastAsia="等线" w:cs="等线"/>
          <w:sz w:val="18"/>
          <w:szCs w:val="18"/>
          <w:highlight w:val="none"/>
        </w:rPr>
        <w:t>现代物流、研发设计、检验检测、大数据、先进医疗技术、人力资源服务、金融</w:t>
      </w:r>
      <w:r>
        <w:rPr>
          <w:rFonts w:hint="eastAsia" w:ascii="等线" w:hAnsi="等线" w:eastAsia="等线" w:cs="等线"/>
          <w:sz w:val="18"/>
          <w:szCs w:val="18"/>
          <w:highlight w:val="none"/>
          <w:lang w:eastAsia="zh-CN"/>
        </w:rPr>
        <w:t>、</w:t>
      </w:r>
      <w:r>
        <w:rPr>
          <w:rFonts w:hint="eastAsia" w:ascii="等线" w:hAnsi="等线" w:eastAsia="等线" w:cs="等线"/>
          <w:sz w:val="18"/>
          <w:szCs w:val="18"/>
          <w:highlight w:val="none"/>
        </w:rPr>
        <w:t>体育文旅和会展、高端诊疗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2"/>
    <w:footnote w:id="3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Q2MGU2YmUwNGNmOGFiZDU4MDFhODY1YzI5NTM0OWIifQ=="/>
  </w:docVars>
  <w:rsids>
    <w:rsidRoot w:val="77E5765C"/>
    <w:rsid w:val="033C0515"/>
    <w:rsid w:val="09907166"/>
    <w:rsid w:val="2DF61C8B"/>
    <w:rsid w:val="3FD724F1"/>
    <w:rsid w:val="52A70760"/>
    <w:rsid w:val="57E0285A"/>
    <w:rsid w:val="5DDB1F64"/>
    <w:rsid w:val="6598698C"/>
    <w:rsid w:val="6B576A3E"/>
    <w:rsid w:val="6B5862AA"/>
    <w:rsid w:val="77E57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footnote text"/>
    <w:basedOn w:val="1"/>
    <w:semiHidden/>
    <w:unhideWhenUsed/>
    <w:qFormat/>
    <w:uiPriority w:val="99"/>
    <w:pPr>
      <w:snapToGrid w:val="0"/>
      <w:jc w:val="left"/>
    </w:pPr>
    <w:rPr>
      <w:sz w:val="18"/>
    </w:rPr>
  </w:style>
  <w:style w:type="character" w:styleId="7">
    <w:name w:val="footnote reference"/>
    <w:basedOn w:val="6"/>
    <w:semiHidden/>
    <w:unhideWhenUsed/>
    <w:qFormat/>
    <w:uiPriority w:val="99"/>
    <w:rPr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2024-03-22T07:37:00Z</dcterms:created>
  <dc:creator>李雨航</dc:creator>
  <cp:lastModifiedBy>李雨航</cp:lastModifiedBy>
  <cp:lastPrinted>2024-04-11T08:15:25Z</cp:lastPrinted>
  <dcterms:modified xsi:type="dcterms:W3CDTF">2024-04-11T08:31:28Z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54D098CBCBF44C9691076C805EF5258D_11</vt:lpwstr>
  </property>
</Properties>
</file>