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C47" w:rsidRPr="00F71C47" w:rsidRDefault="00F71C47" w:rsidP="00F71C47">
      <w:pPr>
        <w:widowControl/>
        <w:shd w:val="clear" w:color="auto" w:fill="FFFFFF"/>
        <w:spacing w:before="138" w:after="138" w:line="432" w:lineRule="atLeast"/>
        <w:jc w:val="left"/>
        <w:rPr>
          <w:rFonts w:ascii="宋体" w:eastAsia="宋体" w:hAnsi="宋体" w:cs="宋体"/>
          <w:color w:val="000000"/>
          <w:kern w:val="0"/>
          <w:sz w:val="29"/>
          <w:szCs w:val="29"/>
        </w:rPr>
      </w:pPr>
      <w:r w:rsidRPr="00F71C47">
        <w:rPr>
          <w:rFonts w:ascii="方正仿宋_GBK" w:eastAsia="方正仿宋_GBK" w:hAnsi="宋体" w:cs="宋体" w:hint="eastAsia"/>
          <w:b/>
          <w:bCs/>
          <w:color w:val="000000"/>
          <w:kern w:val="0"/>
          <w:sz w:val="29"/>
        </w:rPr>
        <w:t>附件</w:t>
      </w:r>
    </w:p>
    <w:p w:rsidR="00320B2C" w:rsidRDefault="00F71C47" w:rsidP="006114BC">
      <w:pPr>
        <w:widowControl/>
        <w:shd w:val="clear" w:color="auto" w:fill="FFFFFF"/>
        <w:spacing w:before="138" w:after="138" w:line="432" w:lineRule="atLeast"/>
        <w:jc w:val="center"/>
        <w:rPr>
          <w:rFonts w:ascii="方正仿宋_GBK" w:eastAsia="方正仿宋_GBK" w:hAnsi="宋体" w:cs="宋体" w:hint="eastAsia"/>
          <w:b/>
          <w:bCs/>
          <w:color w:val="000000"/>
          <w:kern w:val="0"/>
          <w:sz w:val="29"/>
        </w:rPr>
      </w:pPr>
      <w:r w:rsidRPr="00F71C47">
        <w:rPr>
          <w:rFonts w:ascii="方正仿宋_GBK" w:eastAsia="方正仿宋_GBK" w:hAnsi="宋体" w:cs="宋体" w:hint="eastAsia"/>
          <w:b/>
          <w:bCs/>
          <w:color w:val="000000"/>
          <w:kern w:val="0"/>
          <w:sz w:val="29"/>
        </w:rPr>
        <w:t>重庆市商务发展专项资金支持商贸服务业发展政策清单</w:t>
      </w:r>
    </w:p>
    <w:tbl>
      <w:tblPr>
        <w:tblW w:w="0" w:type="auto"/>
        <w:tblInd w:w="94" w:type="dxa"/>
        <w:tblLook w:val="04A0"/>
      </w:tblPr>
      <w:tblGrid>
        <w:gridCol w:w="579"/>
        <w:gridCol w:w="900"/>
        <w:gridCol w:w="4887"/>
        <w:gridCol w:w="2062"/>
      </w:tblGrid>
      <w:tr w:rsidR="006114BC" w:rsidRPr="006114BC" w:rsidTr="006114BC">
        <w:trPr>
          <w:trHeight w:val="40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b/>
                <w:bCs/>
                <w:color w:val="000000"/>
                <w:kern w:val="0"/>
                <w:sz w:val="32"/>
                <w:szCs w:val="32"/>
              </w:rPr>
            </w:pPr>
            <w:r w:rsidRPr="006114BC">
              <w:rPr>
                <w:rFonts w:ascii="方正仿宋_GBK" w:eastAsia="方正仿宋_GBK" w:hAnsi="宋体" w:cs="宋体" w:hint="eastAsia"/>
                <w:b/>
                <w:bCs/>
                <w:color w:val="000000"/>
                <w:kern w:val="0"/>
                <w:sz w:val="32"/>
                <w:szCs w:val="32"/>
              </w:rPr>
              <w:t>序号</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b/>
                <w:bCs/>
                <w:color w:val="000000"/>
                <w:kern w:val="0"/>
                <w:sz w:val="32"/>
                <w:szCs w:val="32"/>
              </w:rPr>
            </w:pPr>
            <w:r w:rsidRPr="006114BC">
              <w:rPr>
                <w:rFonts w:ascii="方正仿宋_GBK" w:eastAsia="方正仿宋_GBK" w:hAnsi="宋体" w:cs="宋体" w:hint="eastAsia"/>
                <w:b/>
                <w:bCs/>
                <w:color w:val="000000"/>
                <w:kern w:val="0"/>
                <w:sz w:val="32"/>
                <w:szCs w:val="32"/>
              </w:rPr>
              <w:t>政策类别</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b/>
                <w:bCs/>
                <w:color w:val="000000"/>
                <w:kern w:val="0"/>
                <w:sz w:val="32"/>
                <w:szCs w:val="32"/>
              </w:rPr>
            </w:pPr>
            <w:r w:rsidRPr="006114BC">
              <w:rPr>
                <w:rFonts w:ascii="方正仿宋_GBK" w:eastAsia="方正仿宋_GBK" w:hAnsi="宋体" w:cs="宋体" w:hint="eastAsia"/>
                <w:b/>
                <w:bCs/>
                <w:color w:val="000000"/>
                <w:kern w:val="0"/>
                <w:sz w:val="32"/>
                <w:szCs w:val="32"/>
              </w:rPr>
              <w:t>支持内容</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b/>
                <w:bCs/>
                <w:color w:val="000000"/>
                <w:kern w:val="0"/>
                <w:sz w:val="32"/>
                <w:szCs w:val="32"/>
              </w:rPr>
            </w:pPr>
            <w:r w:rsidRPr="006114BC">
              <w:rPr>
                <w:rFonts w:ascii="方正仿宋_GBK" w:eastAsia="方正仿宋_GBK" w:hAnsi="宋体" w:cs="宋体" w:hint="eastAsia"/>
                <w:b/>
                <w:bCs/>
                <w:color w:val="000000"/>
                <w:kern w:val="0"/>
                <w:sz w:val="32"/>
                <w:szCs w:val="32"/>
              </w:rPr>
              <w:t>支出标准</w:t>
            </w:r>
          </w:p>
        </w:tc>
      </w:tr>
      <w:tr w:rsidR="006114BC" w:rsidRPr="006114BC" w:rsidTr="006114BC">
        <w:trPr>
          <w:trHeight w:val="40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32"/>
                <w:szCs w:val="32"/>
              </w:rPr>
            </w:pPr>
            <w:r w:rsidRPr="006114BC">
              <w:rPr>
                <w:rFonts w:ascii="方正仿宋_GBK" w:eastAsia="方正仿宋_GBK" w:hAnsi="宋体" w:cs="宋体" w:hint="eastAsia"/>
                <w:color w:val="000000"/>
                <w:kern w:val="0"/>
                <w:sz w:val="32"/>
                <w:szCs w:val="32"/>
              </w:rPr>
              <w:t>一</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32"/>
                <w:szCs w:val="32"/>
              </w:rPr>
            </w:pPr>
            <w:r w:rsidRPr="006114BC">
              <w:rPr>
                <w:rFonts w:ascii="方正仿宋_GBK" w:eastAsia="方正仿宋_GBK" w:hAnsi="宋体" w:cs="宋体" w:hint="eastAsia"/>
                <w:color w:val="000000"/>
                <w:kern w:val="0"/>
                <w:sz w:val="32"/>
                <w:szCs w:val="32"/>
              </w:rPr>
              <w:t>奖励类</w:t>
            </w:r>
          </w:p>
        </w:tc>
      </w:tr>
      <w:tr w:rsidR="006114BC" w:rsidRPr="006114BC" w:rsidTr="006114BC">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1</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招商引资项目</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对符合支持条件的招商引资主体（项目），根据其吸纳就业、产值、注册资本、实际到位资金、落户年限等情况给予专项资金奖励。</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不超过2000万元/个。</w:t>
            </w:r>
          </w:p>
        </w:tc>
      </w:tr>
      <w:tr w:rsidR="006114BC" w:rsidRPr="006114BC" w:rsidTr="006114BC">
        <w:trPr>
          <w:trHeight w:val="120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2</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示范（试点）创建项目</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符合支持条件的示范（试点）创建项目（包括中央商务区、智慧商圈、步行街、商业街区、夜间经济、农贸市场、菜市场、无废细胞、绿色商场、绿色饭店、美食街区、美食地标、钻级酒家、星级农家乐、服务业集聚发展、社区商业以及国际消费中心城区、区域消费中心城市、商旅文融合发展城市项目等）给予一次性专项资金奖励，其中，一档为市委、市政府，国家主管部门及以上层级确定的商务领域示范（试点）创建项目，二档为市级主管部门确定的商务领域示范（试点）创建项目。</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一档：不超过1000万元/个。</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二档：不超过500万元/个。</w:t>
            </w:r>
          </w:p>
        </w:tc>
      </w:tr>
      <w:tr w:rsidR="006114BC" w:rsidRPr="006114BC" w:rsidTr="006114BC">
        <w:trPr>
          <w:trHeight w:val="120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3</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主体培育项目</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符合商务产业发展规划、政策导向，完成设定商务发展指标（包括销售额、交易额、营业额等）或相关工作任务的生产经营主体择优给予专项资金奖励，其中，一档为完成市委、市政府，国家主管部门及以上层级所设定商务发展任务的项目，二档为完成市级主管部门所设定商务发展任务的项目。</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一档：不超过200万元/个。</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二档：不超过100万元/个。</w:t>
            </w:r>
          </w:p>
        </w:tc>
      </w:tr>
      <w:tr w:rsidR="006114BC" w:rsidRPr="006114BC" w:rsidTr="006114BC">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4</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鼓励销售项目</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对中共中央、国务院，市委、市政府和国家主管部门文件（含以办公厅名义印发的文件）中鼓励、支持销售的产品（如汽车、家电等），根据市级财政可承受能力给予专项资金奖励。</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不超过产品销售价格的5%。</w:t>
            </w:r>
          </w:p>
        </w:tc>
      </w:tr>
      <w:tr w:rsidR="006114BC" w:rsidRPr="006114BC" w:rsidTr="006114BC">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5</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保供应急项目</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应急保供项目。对在积极应对自然灾害、公共卫生事件中，在生活物资应急保供方面做出突出贡献的商贸流通主体给予一定奖励。</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支出标准不超过200万元/个。</w:t>
            </w:r>
          </w:p>
        </w:tc>
      </w:tr>
      <w:tr w:rsidR="006114BC" w:rsidRPr="006114BC" w:rsidTr="006114BC">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lastRenderedPageBreak/>
              <w:t>二</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费用补助类</w:t>
            </w:r>
          </w:p>
        </w:tc>
      </w:tr>
      <w:tr w:rsidR="006114BC" w:rsidRPr="006114BC" w:rsidTr="006114BC">
        <w:trPr>
          <w:trHeight w:val="120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6</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建设投资项目</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符合支持条件的建设投资项目（包括商贸流通设施建设，设施设备购置，信息化建设，经营模式创新转型升级，商业环境整治改造，生产经营场所搬迁、租赁、购置等）给予专项资金补助，其中，一档为市场主导投资项目，二档为政府主导投资项目。</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一档：不超过实际有效投资的50%。</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二档：按“一事一议”方式确定。</w:t>
            </w:r>
          </w:p>
        </w:tc>
      </w:tr>
      <w:tr w:rsidR="006114BC" w:rsidRPr="006114BC" w:rsidTr="006114BC">
        <w:trPr>
          <w:trHeight w:val="120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7</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储备应急项目</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对承储主体储备重要生活物资给予专项资金补助。</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1. 食糖、应急物资、蔬菜储备：当年产品价值的10%。</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2. 猪肉储备：以280元/吨.月为基数，根据物价波动情况适时调整，浮动比率原则上不超过上年度支出标准的10%。</w:t>
            </w:r>
          </w:p>
        </w:tc>
      </w:tr>
      <w:tr w:rsidR="006114BC" w:rsidRPr="006114BC" w:rsidTr="006114BC">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8</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消费补助项目</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对采用消费券、促销券等方式给予消费补助的，补助金额不得高于消费金额的100％。</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支出额度按“一事一议”方式确定。</w:t>
            </w:r>
          </w:p>
        </w:tc>
      </w:tr>
      <w:tr w:rsidR="006114BC" w:rsidRPr="006114BC" w:rsidTr="006114BC">
        <w:trPr>
          <w:trHeight w:val="120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9</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会展活动项目</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符合支持条件的商务会展、促销活动项目给予专项资金补助，其中，一档为以市委、市政府，国家主管部门及以上层级名义主办的活动；二档为以市级主管部门名义主办的活动；三档为其它单位主办、市级主管部门支持的活动。</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一档：按“一事一议”方式确定。</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二档：不超过500万元。</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三档：不超过实际发生费用的50%，最高不超过150万元/个。</w:t>
            </w:r>
          </w:p>
        </w:tc>
      </w:tr>
      <w:tr w:rsidR="006114BC" w:rsidRPr="006114BC" w:rsidTr="006114BC">
        <w:trPr>
          <w:trHeight w:val="120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10</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统计监测项目</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对市级主管部门开展的商务统计监测工作按实际工作量给予资金支持。</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1. 样本主体数据汇总报送：不超过125元/次。</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2. 节假日（应急）数据汇总报送：不超过1万元/次。</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3. 数据定期汇总发布：不超过4万元/期。</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4. 行业年度发展报告：不超过3万元/个。</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5. 单个行业类别统计监测：不超过50万元/年。</w:t>
            </w:r>
          </w:p>
        </w:tc>
      </w:tr>
      <w:tr w:rsidR="006114BC" w:rsidRPr="006114BC" w:rsidTr="006114BC">
        <w:trPr>
          <w:trHeight w:val="1200"/>
        </w:trPr>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11</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公共服务项目</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符合支持条件的商务领域公共服务类项目（包括技能培训提升、制定或修订行业标准、行业品牌培育评选、推动交流合作、开展商务宣传、产业科技创新和技术研发、推广应用先进技术和工具、培育引进新品种、病虫灾害监测防治、乡村振兴等）给予专项资金支持，其中，一档为市级主管部门组织实施的商务领域公共服务项目；二档为其他单位组织实施、市级主管部门支持的商务领域公共服务项目。</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一档：不超过实际发生费用的100%。</w:t>
            </w:r>
          </w:p>
        </w:tc>
      </w:tr>
      <w:tr w:rsidR="006114BC" w:rsidRPr="006114BC" w:rsidTr="006114BC">
        <w:trPr>
          <w:trHeight w:val="1200"/>
        </w:trPr>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二档：不超过实际发生费用的50%。</w:t>
            </w:r>
          </w:p>
        </w:tc>
      </w:tr>
      <w:tr w:rsidR="006114BC" w:rsidRPr="006114BC" w:rsidTr="006114BC">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三</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贷款贴息类</w:t>
            </w:r>
          </w:p>
        </w:tc>
      </w:tr>
      <w:tr w:rsidR="006114BC" w:rsidRPr="006114BC" w:rsidTr="006114BC">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12</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商贸服务业主体贷款贴息项目</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对符合支持条件的商贸服务业主体（项目）贷款，按银行贷款一年期基准利率（具体以当年度1月一年期贷款基础利率LPR为准）给予贴息补助。</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补助比例不超过50%，每年最高不超过500万元/个。</w:t>
            </w:r>
          </w:p>
        </w:tc>
      </w:tr>
      <w:tr w:rsidR="006114BC" w:rsidRPr="006114BC" w:rsidTr="006114BC">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四</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风险补偿类</w:t>
            </w:r>
          </w:p>
        </w:tc>
      </w:tr>
      <w:tr w:rsidR="006114BC" w:rsidRPr="006114BC" w:rsidTr="006114BC">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114BC" w:rsidRPr="006114BC" w:rsidRDefault="006114BC" w:rsidP="006114BC">
            <w:pPr>
              <w:widowControl/>
              <w:jc w:val="center"/>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13</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风险补偿资金池</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设立风险补偿资金池，对商贸主体获得的专项融资服务等予以补偿支持。</w:t>
            </w:r>
          </w:p>
        </w:tc>
        <w:tc>
          <w:tcPr>
            <w:tcW w:w="0" w:type="auto"/>
            <w:tcBorders>
              <w:top w:val="nil"/>
              <w:left w:val="nil"/>
              <w:bottom w:val="single" w:sz="4" w:space="0" w:color="auto"/>
              <w:right w:val="single" w:sz="4" w:space="0" w:color="auto"/>
            </w:tcBorders>
            <w:shd w:val="clear" w:color="000000" w:fill="FFFFFF"/>
            <w:vAlign w:val="center"/>
            <w:hideMark/>
          </w:tcPr>
          <w:p w:rsidR="006114BC" w:rsidRPr="006114BC" w:rsidRDefault="006114BC" w:rsidP="006114BC">
            <w:pPr>
              <w:widowControl/>
              <w:jc w:val="left"/>
              <w:rPr>
                <w:rFonts w:ascii="方正仿宋_GBK" w:eastAsia="方正仿宋_GBK" w:hAnsi="宋体" w:cs="宋体"/>
                <w:color w:val="000000"/>
                <w:kern w:val="0"/>
                <w:sz w:val="20"/>
                <w:szCs w:val="20"/>
              </w:rPr>
            </w:pPr>
            <w:r w:rsidRPr="006114BC">
              <w:rPr>
                <w:rFonts w:ascii="方正仿宋_GBK" w:eastAsia="方正仿宋_GBK" w:hAnsi="宋体" w:cs="宋体" w:hint="eastAsia"/>
                <w:color w:val="000000"/>
                <w:kern w:val="0"/>
                <w:sz w:val="20"/>
                <w:szCs w:val="20"/>
              </w:rPr>
              <w:t>单笔最高300万元，单个企业累计不超过500万元</w:t>
            </w:r>
          </w:p>
        </w:tc>
      </w:tr>
    </w:tbl>
    <w:p w:rsidR="006114BC" w:rsidRPr="006114BC" w:rsidRDefault="006114BC" w:rsidP="006114BC">
      <w:pPr>
        <w:widowControl/>
        <w:shd w:val="clear" w:color="auto" w:fill="FFFFFF"/>
        <w:spacing w:before="138" w:after="138" w:line="432" w:lineRule="atLeast"/>
        <w:jc w:val="center"/>
        <w:rPr>
          <w:rFonts w:ascii="宋体" w:eastAsia="宋体" w:hAnsi="宋体" w:cs="宋体"/>
          <w:color w:val="000000"/>
          <w:kern w:val="0"/>
          <w:sz w:val="29"/>
          <w:szCs w:val="29"/>
        </w:rPr>
      </w:pPr>
    </w:p>
    <w:sectPr w:rsidR="006114BC" w:rsidRPr="006114BC" w:rsidSect="00320B2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71C47"/>
    <w:rsid w:val="00320B2C"/>
    <w:rsid w:val="006114BC"/>
    <w:rsid w:val="00F71C4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0B2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71C47"/>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F71C47"/>
    <w:rPr>
      <w:b/>
      <w:bCs/>
    </w:rPr>
  </w:style>
</w:styles>
</file>

<file path=word/webSettings.xml><?xml version="1.0" encoding="utf-8"?>
<w:webSettings xmlns:r="http://schemas.openxmlformats.org/officeDocument/2006/relationships" xmlns:w="http://schemas.openxmlformats.org/wordprocessingml/2006/main">
  <w:divs>
    <w:div w:id="597326195">
      <w:bodyDiv w:val="1"/>
      <w:marLeft w:val="0"/>
      <w:marRight w:val="0"/>
      <w:marTop w:val="0"/>
      <w:marBottom w:val="0"/>
      <w:divBdr>
        <w:top w:val="none" w:sz="0" w:space="0" w:color="auto"/>
        <w:left w:val="none" w:sz="0" w:space="0" w:color="auto"/>
        <w:bottom w:val="none" w:sz="0" w:space="0" w:color="auto"/>
        <w:right w:val="none" w:sz="0" w:space="0" w:color="auto"/>
      </w:divBdr>
    </w:div>
    <w:div w:id="1248805829">
      <w:bodyDiv w:val="1"/>
      <w:marLeft w:val="0"/>
      <w:marRight w:val="0"/>
      <w:marTop w:val="0"/>
      <w:marBottom w:val="0"/>
      <w:divBdr>
        <w:top w:val="none" w:sz="0" w:space="0" w:color="auto"/>
        <w:left w:val="none" w:sz="0" w:space="0" w:color="auto"/>
        <w:bottom w:val="none" w:sz="0" w:space="0" w:color="auto"/>
        <w:right w:val="none" w:sz="0" w:space="0" w:color="auto"/>
      </w:divBdr>
      <w:divsChild>
        <w:div w:id="991249311">
          <w:marLeft w:val="0"/>
          <w:marRight w:val="0"/>
          <w:marTop w:val="138"/>
          <w:marBottom w:val="138"/>
          <w:divBdr>
            <w:top w:val="none" w:sz="0" w:space="0" w:color="auto"/>
            <w:left w:val="none" w:sz="0" w:space="0" w:color="auto"/>
            <w:bottom w:val="none" w:sz="0" w:space="0" w:color="auto"/>
            <w:right w:val="none" w:sz="0" w:space="0" w:color="auto"/>
          </w:divBdr>
          <w:divsChild>
            <w:div w:id="1539197445">
              <w:marLeft w:val="0"/>
              <w:marRight w:val="0"/>
              <w:marTop w:val="138"/>
              <w:marBottom w:val="138"/>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286</Words>
  <Characters>1631</Characters>
  <Application>Microsoft Office Word</Application>
  <DocSecurity>0</DocSecurity>
  <Lines>13</Lines>
  <Paragraphs>3</Paragraphs>
  <ScaleCrop>false</ScaleCrop>
  <Company/>
  <LinksUpToDate>false</LinksUpToDate>
  <CharactersWithSpaces>1914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2023-04-21T03:01:00Z</dcterms:created>
  <dcterms:modified xsi:type="dcterms:W3CDTF">2023-04-21T03:06:00Z</dcterms:modified>
</cp:coreProperties>
</file>