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Times New Roman" w:hAnsi="Times New Roman" w:eastAsia="方正小标宋_GBK" w:cs="Times New Roman"/>
          <w:spacing w:val="0"/>
          <w:sz w:val="44"/>
          <w:szCs w:val="44"/>
          <w:highlight w:val="none"/>
          <w:lang w:eastAsia="zh-CN"/>
        </w:rPr>
      </w:pPr>
      <w:r>
        <w:rPr>
          <w:rFonts w:hint="eastAsia" w:ascii="方正小标宋_GBK" w:hAnsi="方正小标宋_GBK" w:eastAsia="方正小标宋_GBK" w:cs="方正小标宋_GBK"/>
          <w:spacing w:val="0"/>
          <w:sz w:val="44"/>
          <w:szCs w:val="44"/>
          <w:highlight w:val="none"/>
          <w:lang w:val="en-US" w:eastAsia="zh-CN"/>
        </w:rPr>
        <w:t>成都东部新区</w:t>
      </w:r>
      <w:r>
        <w:rPr>
          <w:rFonts w:hint="eastAsia" w:ascii="方正小标宋_GBK" w:hAnsi="方正小标宋_GBK" w:eastAsia="方正小标宋_GBK" w:cs="方正小标宋_GBK"/>
          <w:spacing w:val="0"/>
          <w:sz w:val="44"/>
          <w:szCs w:val="44"/>
          <w:highlight w:val="none"/>
        </w:rPr>
        <w:t>柔性引才实施办法</w:t>
      </w:r>
      <w:r>
        <w:rPr>
          <w:rFonts w:hint="eastAsia" w:ascii="方正小标宋_GBK" w:hAnsi="方正小标宋_GBK" w:eastAsia="方正小标宋_GBK" w:cs="方正小标宋_GBK"/>
          <w:spacing w:val="0"/>
          <w:sz w:val="44"/>
          <w:szCs w:val="44"/>
          <w:highlight w:val="none"/>
          <w:lang w:eastAsia="zh-CN"/>
        </w:rPr>
        <w:t>（</w:t>
      </w:r>
      <w:r>
        <w:rPr>
          <w:rFonts w:hint="eastAsia" w:ascii="方正小标宋_GBK" w:hAnsi="方正小标宋_GBK" w:eastAsia="方正小标宋_GBK" w:cs="方正小标宋_GBK"/>
          <w:spacing w:val="0"/>
          <w:sz w:val="44"/>
          <w:szCs w:val="44"/>
          <w:highlight w:val="none"/>
          <w:lang w:val="en-US" w:eastAsia="zh-CN"/>
        </w:rPr>
        <w:t>试行</w:t>
      </w:r>
      <w:r>
        <w:rPr>
          <w:rFonts w:hint="eastAsia" w:ascii="方正小标宋_GBK" w:hAnsi="方正小标宋_GBK" w:eastAsia="方正小标宋_GBK" w:cs="方正小标宋_GBK"/>
          <w:spacing w:val="0"/>
          <w:sz w:val="44"/>
          <w:szCs w:val="44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jc w:val="center"/>
        <w:textAlignment w:val="auto"/>
        <w:rPr>
          <w:rFonts w:hint="eastAsia" w:ascii="方正楷体_GBK" w:hAnsi="方正楷体_GBK" w:eastAsia="方正楷体_GBK" w:cs="方正楷体_GBK"/>
          <w:sz w:val="32"/>
          <w:szCs w:val="32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highlight w:val="none"/>
          <w:lang w:val="en-US" w:eastAsia="zh-CN"/>
        </w:rPr>
        <w:t>（征求意见稿）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第一条 为鼓励新区用人单位柔性引进各类高层次人才，根据《成都东部新区关于实施“东部英才计划”加快产业人才集聚的若干政策（人才10条）》（成东管综〔2022〕78号），制定本实施办法。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第二条 本实施办法所称柔性引才，是指新区用人单位在不改变新区外人才与所属单位人事、档案、社保、个税等关系的前提下，按照“契约管理、绩效激励”的原则，实现“不求所有、但求所用，不求所在、但求所为”的非全职化人才引进方式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第三条 柔性引才通过顾问指导、短期兼职、项目合作、退休特聘等多种形式，瞄准城市建设和产业发展需要，引进急需紧缺和高端人才。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第四条 引才主体包括以下范围：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（一）在新区建设（设立）的重大创新平台、重要工作站点；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（二）在新区注册、具有独立法人资格的重点企业、项目（原则上为重大产业化项目）；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（三）在新区注册、具有独立法人资格的机关事业单位；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（四）注册地不在新区，但由新区企事业单位控股的公司、机构等飞地单位。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第五条 引进人才基本条件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1.具备良好的职业道德和较强的团队协作精神；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2.具有扎实的专业知识技能，符合《成都东部新区急需紧缺人才和高端人才分类认定标准》的人才；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3.具备开展智力服务所需的身体条件；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4.在职人员须与所属单位达成一致意见；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5.无法律规定不得流动的情形。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第六条 柔性引才的对象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（一）重大创新平台建设人才。主导建设天府锦城实验室（未来医学城部分</w:t>
      </w:r>
      <w:bookmarkStart w:id="0" w:name="_GoBack"/>
      <w:bookmarkEnd w:id="0"/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）、六大创新平台和被认定为国家级、省级重点实验室、企业技术中心、技术创新中心、制造业创新中心、工程（技术）研究中心、产品检验检测机构、产学研联合实验室等重大创</w:t>
      </w: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982345</wp:posOffset>
                </wp:positionH>
                <wp:positionV relativeFrom="paragraph">
                  <wp:posOffset>9566275</wp:posOffset>
                </wp:positionV>
                <wp:extent cx="5641340" cy="43815"/>
                <wp:effectExtent l="0" t="29845" r="16510" b="40640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1340" cy="43815"/>
                        </a:xfrm>
                        <a:prstGeom prst="straightConnector1">
                          <a:avLst/>
                        </a:prstGeom>
                        <a:ln w="59690" cap="flat" cmpd="thickThin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77.35pt;margin-top:753.25pt;height:3.45pt;width:444.2pt;z-index:251659264;mso-width-relative:page;mso-height-relative:page;" filled="f" stroked="t" coordsize="21600,21600" o:gfxdata="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74CkhtkAAAAOAQAADwAAAAAAAAABACAA&#10;AAAiAAAAZHJzL2Rvd25yZXYueG1sUEsBAhQAFAAAAAgAh07iQDRwqa0MAgAAAQQAAA4AAAAAAAAA&#10;AQAgAAAAKAEAAGRycy9lMm9Eb2MueG1sUEsFBgAAAAAGAAYAWQEAAKYFAAAAAA==&#10;">
                <v:fill on="f" focussize="0,0"/>
                <v:stroke weight="4.7pt" color="#FF0000" linestyle="thickThin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新平台的高层次人才，以及被上述重大创新平台（含入驻企事业单位）柔性引进的高层次创新人才。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（二）重要工作站点引进人才。由在新区设立的院士（专家）创新工作站、国家重点人才工程专家工作站在站聘任的院士（专家）等领军人才，博士后科研工作站、博士后创新实践基地招收的博士后等青年科技人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（三）重点企业（项目）建设人才。主导建设已在新区投资开工的重点企业（项目）的管理层、技术骨干等高层次人才，以及被重点企业（项目）建成投运后柔性引进的高层次产业人才。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（四）飞地人才。由新区企事业单位在新区外控股设立的子（分）公司、研发（设计）机构以及建立的研发基地、开放实验室、科技孵化器、技术转移中心等离岸创新创业基地，全职聘用的高层次人才。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  <w:t>（五）保障城市建设的机关事业单位人才。由新区各局（部）、镇（街道）机关通过公开招聘方式聘任的、为新区城市建设作出贡献的编外管理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人才</w:t>
      </w:r>
      <w:r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第七条 柔性引进人才在新区工作期间由用人单位负责日常管理。用人单位应严格遵守相关法律法规，协同所属单位，与柔性引进的人才明确双方权利、义务和目标责任。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第八条 将柔性引进的高层次人才纳入党委联系专家服务范围。柔性引才经认定</w:t>
      </w:r>
      <w:r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  <w:t>后，可给予在新区范围内人才购房支持，租购人才公寓的享受租购优惠政策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第九条 柔性引进人才可参与评选新区杰出人才，成功入选后可享受相应待遇。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第十条 本办法由新区党工委人才办负责解释，</w:t>
      </w:r>
      <w:r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  <w:t>柔性引才分类认定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实施细则另行制定。本办法自发文之日起30日后施行，试行一年，有效期两年。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default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  <w:t>附件：成都东部新区柔性引才分类认定实施细则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 w:val="0"/>
        <w:autoSpaceDN w:val="0"/>
        <w:bidi w:val="0"/>
        <w:snapToGrid/>
        <w:spacing w:line="570" w:lineRule="exact"/>
        <w:ind w:left="0" w:firstLine="640" w:firstLineChars="200"/>
        <w:jc w:val="both"/>
        <w:textAlignment w:val="auto"/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50" w:lineRule="exact"/>
        <w:ind w:left="0"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pStyle w:val="2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pStyle w:val="2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 w:val="0"/>
        <w:topLinePunct w:val="0"/>
        <w:autoSpaceDE w:val="0"/>
        <w:autoSpaceDN w:val="0"/>
        <w:bidi w:val="0"/>
        <w:spacing w:line="570" w:lineRule="exact"/>
        <w:jc w:val="lef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highlight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highlight w:val="none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  <w:t>成都东部新区柔性引才分类认定实施细则</w:t>
      </w:r>
    </w:p>
    <w:p>
      <w:pPr>
        <w:pStyle w:val="2"/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snapToGrid/>
        <w:spacing w:line="700" w:lineRule="exact"/>
        <w:textAlignment w:val="auto"/>
        <w:rPr>
          <w:rFonts w:hint="eastAsia"/>
          <w:sz w:val="44"/>
          <w:szCs w:val="44"/>
          <w:lang w:val="en-US" w:eastAsia="zh-CN"/>
        </w:rPr>
      </w:pPr>
    </w:p>
    <w:p>
      <w:pPr>
        <w:overflowPunct w:val="0"/>
        <w:autoSpaceDE w:val="0"/>
        <w:autoSpaceDN w:val="0"/>
        <w:spacing w:line="560" w:lineRule="exact"/>
        <w:ind w:firstLine="640" w:firstLineChars="200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为规范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成都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东部新区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eastAsia="zh-CN"/>
        </w:rPr>
        <w:t>“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柔性引才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eastAsia="zh-CN"/>
        </w:rPr>
        <w:t>”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分类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认定工作，细化认定程序，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结合新区实际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，制定本细则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eastAsia="zh-CN"/>
        </w:rPr>
        <w:t>。</w:t>
      </w:r>
    </w:p>
    <w:p>
      <w:pPr>
        <w:overflowPunct w:val="0"/>
        <w:autoSpaceDE w:val="0"/>
        <w:autoSpaceDN w:val="0"/>
        <w:spacing w:line="56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>一、申请范围和条件</w:t>
      </w:r>
    </w:p>
    <w:p>
      <w:pPr>
        <w:overflowPunct w:val="0"/>
        <w:autoSpaceDE w:val="0"/>
        <w:autoSpaceDN w:val="0"/>
        <w:spacing w:line="560" w:lineRule="exact"/>
        <w:ind w:firstLine="640" w:firstLineChars="200"/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在东部新区工作，忠于祖国，遵守宪法和法律，具有不断创新的科学精神和良好的职业道德，并符合《成都东部新区急需紧缺人才和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eastAsia="zh-CN"/>
        </w:rPr>
        <w:t>高端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人才分类认定标准》规定的A、B、C、D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E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类条件的人员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可以申请新区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eastAsia="zh-CN"/>
        </w:rPr>
        <w:t>“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柔性引才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分类认定。 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</w:rPr>
      </w:pPr>
      <w:r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二</w:t>
      </w:r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>、申请材料要求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1.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成都东部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新区柔性引才分类认定申请表（表格通过系统在线填写并打印）；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2.身份证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扫描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件；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191919"/>
          <w:kern w:val="0"/>
          <w:sz w:val="32"/>
          <w:szCs w:val="32"/>
          <w:highlight w:val="none"/>
          <w:lang w:val="en-US" w:eastAsia="zh-CN" w:bidi="ar"/>
        </w:rPr>
        <w:t>3.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符合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认定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标准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所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规定条件的佐证材料，如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学历学位证书、职称证书、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荣誉证书、获奖证书、研究课题结题材料等。 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</w:rPr>
      </w:pPr>
      <w:r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三</w:t>
      </w:r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>、</w:t>
      </w:r>
      <w:r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认定</w:t>
      </w:r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>流程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认定工作通过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成都东部新区人才综合服务平台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系统进行。 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eastAsia" w:ascii="方正楷体_GBK" w:hAnsi="方正楷体_GBK" w:eastAsia="方正楷体_GBK" w:cs="方正楷体_GBK"/>
          <w:sz w:val="32"/>
          <w:szCs w:val="32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highlight w:val="none"/>
          <w:lang w:val="en-US" w:eastAsia="zh-CN"/>
        </w:rPr>
        <w:t>（一）单位注册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1.在新区注册且纳税的用人单位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此类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用人单位在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人才综合服务平台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系统，以社会统一信用代码注册账号，正确填写企业工商注册、纳税、统计所在地等相关信息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，完成单位账号的注册及认证。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此类账号填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  <w:t>报材料由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  <w:t>新区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  <w:t>各对应业务部门审核，认证通过后可用于柔性引才、急需紧缺人才和高端人才及其他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人才项目中单位人员的申报及审核工作。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2.其他用人单位</w:t>
      </w:r>
    </w:p>
    <w:p>
      <w:pPr>
        <w:pStyle w:val="2"/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此类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用人单位在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人才综合服务平台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系统</w:t>
      </w:r>
      <w:r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  <w:t>，单位类型需选择“柔性引才单位”，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正确填写</w:t>
      </w:r>
      <w:r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  <w:t>已在新区完成投资签约协议的企业或项目信息，包括但不限于企业或项目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所在</w:t>
      </w:r>
      <w:r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  <w:t>产业功能区、所属的创新平台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等相关信息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，完成单位账号的</w:t>
      </w:r>
      <w:r>
        <w:rPr>
          <w:rFonts w:hint="eastAsia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注册及认证。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此类账号填报材料由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新区</w:t>
      </w:r>
      <w:r>
        <w:rPr>
          <w:rFonts w:hint="eastAsia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相应功能区审核，认证通过后仅可用于柔性引才中单位人员的申报及审核工作。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eastAsia" w:ascii="方正楷体_GBK" w:hAnsi="方正楷体_GBK" w:eastAsia="方正楷体_GBK" w:cs="方正楷体_GBK"/>
          <w:sz w:val="32"/>
          <w:szCs w:val="32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highlight w:val="none"/>
          <w:lang w:val="en-US" w:eastAsia="zh-CN"/>
        </w:rPr>
        <w:t>（二）网上申请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1. 信息填报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用人单位通过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人才综合服务平台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系统，在线如实填写《成都东部新区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柔性引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才分类认定申请表》，并上传相关附件材料。 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2. 用人单位审核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对申请人材料进行认真核实，加盖用人单位章（公章或人力资源章）后上传至平台。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eastAsia" w:ascii="方正楷体_GBK" w:hAnsi="方正楷体_GBK" w:eastAsia="方正楷体_GBK" w:cs="方正楷体_GBK"/>
          <w:sz w:val="32"/>
          <w:szCs w:val="32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highlight w:val="none"/>
          <w:lang w:val="en-US" w:eastAsia="zh-CN"/>
        </w:rPr>
        <w:t>（三）受理审核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1. 线上审核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新区</w:t>
      </w:r>
      <w:r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  <w:t>党工委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人才办，相应功能区、部门分工负责，对申报材料进行审核，出具审核通过、不通过或补充材料意见。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2. 线下复核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审核部门认为需要线下核对材料的，可要求用人单位报送申报材料的原件，审核后归还原件。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eastAsia" w:ascii="方正楷体_GBK" w:hAnsi="方正楷体_GBK" w:eastAsia="方正楷体_GBK" w:cs="方正楷体_GBK"/>
          <w:sz w:val="32"/>
          <w:szCs w:val="32"/>
          <w:highlight w:val="none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highlight w:val="none"/>
          <w:lang w:val="en-US" w:eastAsia="zh-CN"/>
        </w:rPr>
        <w:t>（四）公示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将拟认定各层级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柔性引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才名单向社会公示，公示期为3个工作日。公示期间有异议的，由业务主管部门进行调查核实并提出处理意见。公示无异议后，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人才通过认定并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将相关数据信息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统筹保存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到新区人才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大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数据库。 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附件：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成都东部新区柔性引才分类认定申请表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after="0"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  <w:t>成都东部新区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  <w:lang w:val="en-US" w:eastAsia="zh-CN"/>
        </w:rPr>
        <w:t>柔性引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highlight w:val="none"/>
        </w:rPr>
        <w:t>才分类认定申请表</w:t>
      </w:r>
    </w:p>
    <w:p>
      <w:pPr>
        <w:overflowPunct w:val="0"/>
        <w:spacing w:after="0" w:line="500" w:lineRule="exact"/>
        <w:rPr>
          <w:rFonts w:ascii="仿宋_GB2312" w:hAnsi="宋体" w:eastAsia="仿宋_GB2312" w:cs="Times New Roman"/>
          <w:highlight w:val="none"/>
        </w:rPr>
      </w:pPr>
      <w:r>
        <w:rPr>
          <w:rFonts w:hint="eastAsia" w:ascii="仿宋_GB2312" w:hAnsi="宋体" w:eastAsia="仿宋_GB2312" w:cs="Times New Roman"/>
          <w:highlight w:val="none"/>
        </w:rPr>
        <w:t xml:space="preserve">                             </w:t>
      </w:r>
      <w:r>
        <w:rPr>
          <w:rFonts w:hint="eastAsia" w:ascii="仿宋_GB2312" w:hAnsi="宋体" w:eastAsia="仿宋_GB2312" w:cs="Times New Roman"/>
          <w:highlight w:val="none"/>
          <w:lang w:val="en-US" w:eastAsia="zh-CN"/>
        </w:rPr>
        <w:t xml:space="preserve">                         联系方式：</w:t>
      </w:r>
      <w:r>
        <w:rPr>
          <w:rFonts w:hint="eastAsia" w:ascii="仿宋_GB2312" w:hAnsi="宋体" w:eastAsia="仿宋_GB2312" w:cs="Times New Roman"/>
          <w:highlight w:val="none"/>
        </w:rPr>
        <w:t xml:space="preserve"> </w:t>
      </w:r>
    </w:p>
    <w:tbl>
      <w:tblPr>
        <w:tblStyle w:val="6"/>
        <w:tblW w:w="96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8"/>
        <w:gridCol w:w="1219"/>
        <w:gridCol w:w="831"/>
        <w:gridCol w:w="840"/>
        <w:gridCol w:w="429"/>
        <w:gridCol w:w="139"/>
        <w:gridCol w:w="646"/>
        <w:gridCol w:w="507"/>
        <w:gridCol w:w="323"/>
        <w:gridCol w:w="208"/>
        <w:gridCol w:w="796"/>
        <w:gridCol w:w="827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1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姓名</w:t>
            </w:r>
          </w:p>
        </w:tc>
        <w:tc>
          <w:tcPr>
            <w:tcW w:w="12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  <w:tc>
          <w:tcPr>
            <w:tcW w:w="83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性别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  <w:tc>
          <w:tcPr>
            <w:tcW w:w="1214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出生年月</w:t>
            </w:r>
          </w:p>
        </w:tc>
        <w:tc>
          <w:tcPr>
            <w:tcW w:w="1038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年龄</w:t>
            </w:r>
          </w:p>
        </w:tc>
        <w:tc>
          <w:tcPr>
            <w:tcW w:w="8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  <w:tc>
          <w:tcPr>
            <w:tcW w:w="1559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寸照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国籍</w:t>
            </w:r>
          </w:p>
        </w:tc>
        <w:tc>
          <w:tcPr>
            <w:tcW w:w="121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  <w:tc>
          <w:tcPr>
            <w:tcW w:w="83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籍贯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  <w:tc>
          <w:tcPr>
            <w:tcW w:w="1214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spacing w:val="-20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pacing w:val="-20"/>
                <w:kern w:val="2"/>
                <w:highlight w:val="none"/>
                <w:lang w:eastAsia="zh-CN"/>
              </w:rPr>
              <w:t>政治面貌</w:t>
            </w:r>
          </w:p>
        </w:tc>
        <w:tc>
          <w:tcPr>
            <w:tcW w:w="1038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  <w:tc>
          <w:tcPr>
            <w:tcW w:w="79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民族</w:t>
            </w:r>
          </w:p>
        </w:tc>
        <w:tc>
          <w:tcPr>
            <w:tcW w:w="8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  <w:tc>
          <w:tcPr>
            <w:tcW w:w="155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spacing w:val="-20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spacing w:val="-20"/>
                <w:kern w:val="2"/>
                <w:highlight w:val="none"/>
              </w:rPr>
              <w:t>户口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pacing w:val="-20"/>
                <w:kern w:val="2"/>
                <w:highlight w:val="none"/>
              </w:rPr>
              <w:t>所在地</w:t>
            </w:r>
          </w:p>
        </w:tc>
        <w:tc>
          <w:tcPr>
            <w:tcW w:w="2890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  <w:tc>
          <w:tcPr>
            <w:tcW w:w="1214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身份证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spacing w:val="-20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号码</w:t>
            </w:r>
          </w:p>
        </w:tc>
        <w:tc>
          <w:tcPr>
            <w:tcW w:w="2661" w:type="dxa"/>
            <w:gridSpan w:val="5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  <w:tc>
          <w:tcPr>
            <w:tcW w:w="155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全日制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学历学位</w:t>
            </w:r>
          </w:p>
        </w:tc>
        <w:tc>
          <w:tcPr>
            <w:tcW w:w="2890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  <w:tc>
          <w:tcPr>
            <w:tcW w:w="1214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毕业院校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及专业</w:t>
            </w:r>
          </w:p>
        </w:tc>
        <w:tc>
          <w:tcPr>
            <w:tcW w:w="4220" w:type="dxa"/>
            <w:gridSpan w:val="6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pacing w:val="-28"/>
                <w:kern w:val="2"/>
                <w:sz w:val="22"/>
                <w:szCs w:val="22"/>
                <w:highlight w:val="none"/>
                <w:lang w:eastAsia="zh-CN"/>
              </w:rPr>
              <w:t>工作单位（</w:t>
            </w:r>
            <w:r>
              <w:rPr>
                <w:rFonts w:hint="eastAsia" w:ascii="Times New Roman" w:hAnsi="Times New Roman" w:eastAsia="方正仿宋_GBK" w:cs="Times New Roman"/>
                <w:color w:val="auto"/>
                <w:spacing w:val="-28"/>
                <w:kern w:val="2"/>
                <w:sz w:val="22"/>
                <w:szCs w:val="22"/>
                <w:highlight w:val="none"/>
                <w:lang w:val="en-US" w:eastAsia="zh-CN" w:bidi="ar-SA"/>
              </w:rPr>
              <w:t>含东部新区重大创新平台、重要工作站点、重点企业项目等</w:t>
            </w:r>
            <w:r>
              <w:rPr>
                <w:rFonts w:hint="default" w:ascii="Times New Roman" w:hAnsi="Times New Roman" w:eastAsia="方正仿宋_GBK" w:cs="Times New Roman"/>
                <w:spacing w:val="-28"/>
                <w:kern w:val="2"/>
                <w:sz w:val="22"/>
                <w:szCs w:val="22"/>
                <w:highlight w:val="none"/>
                <w:lang w:eastAsia="zh-CN"/>
              </w:rPr>
              <w:t>）</w:t>
            </w:r>
          </w:p>
        </w:tc>
        <w:tc>
          <w:tcPr>
            <w:tcW w:w="2890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  <w:tc>
          <w:tcPr>
            <w:tcW w:w="1214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现任职务</w:t>
            </w:r>
          </w:p>
        </w:tc>
        <w:tc>
          <w:tcPr>
            <w:tcW w:w="4220" w:type="dxa"/>
            <w:gridSpan w:val="6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主要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社会职务</w:t>
            </w:r>
          </w:p>
        </w:tc>
        <w:tc>
          <w:tcPr>
            <w:tcW w:w="2890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例：四川省政协委员</w:t>
            </w:r>
          </w:p>
        </w:tc>
        <w:tc>
          <w:tcPr>
            <w:tcW w:w="1214" w:type="dxa"/>
            <w:gridSpan w:val="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所获主要称号、职称</w:t>
            </w:r>
          </w:p>
        </w:tc>
        <w:tc>
          <w:tcPr>
            <w:tcW w:w="4220" w:type="dxa"/>
            <w:gridSpan w:val="6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例：“XX计划”专家（2020年入选），高级工程师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申请认定人才类别</w:t>
            </w:r>
          </w:p>
        </w:tc>
        <w:tc>
          <w:tcPr>
            <w:tcW w:w="8324" w:type="dxa"/>
            <w:gridSpan w:val="1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A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vertAlign w:val="subscript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A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vertAlign w:val="subscript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  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A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vertAlign w:val="subscript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B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vertAlign w:val="subscript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B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vertAlign w:val="subscript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  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B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vertAlign w:val="subscript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C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vertAlign w:val="subscript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C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vertAlign w:val="subscript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   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C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vertAlign w:val="subscript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 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D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vertAlign w:val="subscript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  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D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vertAlign w:val="subscript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D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vertAlign w:val="subscript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 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E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人才类别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主要依据</w:t>
            </w:r>
          </w:p>
        </w:tc>
        <w:tc>
          <w:tcPr>
            <w:tcW w:w="8324" w:type="dxa"/>
            <w:gridSpan w:val="1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例：图灵奖获得者（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2020年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）、“长江学者奖励计划”教授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（2020年入选）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Cs w:val="32"/>
                <w:highlight w:val="none"/>
                <w:lang w:eastAsia="zh-CN" w:bidi="ar"/>
              </w:rPr>
              <w:t>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8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是否首次申请认定</w:t>
            </w:r>
          </w:p>
        </w:tc>
        <w:tc>
          <w:tcPr>
            <w:tcW w:w="3458" w:type="dxa"/>
            <w:gridSpan w:val="5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</w:p>
        </w:tc>
        <w:tc>
          <w:tcPr>
            <w:tcW w:w="1153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初次认定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通过时间</w:t>
            </w:r>
          </w:p>
        </w:tc>
        <w:tc>
          <w:tcPr>
            <w:tcW w:w="3713" w:type="dxa"/>
            <w:gridSpan w:val="5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0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教育经历</w:t>
            </w:r>
          </w:p>
        </w:tc>
        <w:tc>
          <w:tcPr>
            <w:tcW w:w="8324" w:type="dxa"/>
            <w:gridSpan w:val="1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（从大学本科开始填写）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45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工作经历</w:t>
            </w:r>
          </w:p>
        </w:tc>
        <w:tc>
          <w:tcPr>
            <w:tcW w:w="8324" w:type="dxa"/>
            <w:gridSpan w:val="1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80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思想政治表现及主要业绩情况</w:t>
            </w:r>
          </w:p>
        </w:tc>
        <w:tc>
          <w:tcPr>
            <w:tcW w:w="8324" w:type="dxa"/>
            <w:gridSpan w:val="1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64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主要成果、工作业绩、荣誉</w:t>
            </w:r>
          </w:p>
        </w:tc>
        <w:tc>
          <w:tcPr>
            <w:tcW w:w="8324" w:type="dxa"/>
            <w:gridSpan w:val="1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64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是否存在以下情形</w:t>
            </w:r>
          </w:p>
        </w:tc>
        <w:tc>
          <w:tcPr>
            <w:tcW w:w="8324" w:type="dxa"/>
            <w:gridSpan w:val="1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曾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被纳入个人诚信黑名单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曾因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学术、业绩上弄虚作假被有关部门查处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曾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受纪检监察机关审查调查并给予严重警告以上处分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曾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受到刑事处罚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曾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违反有关规定出国（境）逾期不归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以上情形均无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68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单位推荐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推荐意见</w:t>
            </w:r>
          </w:p>
        </w:tc>
        <w:tc>
          <w:tcPr>
            <w:tcW w:w="3319" w:type="dxa"/>
            <w:gridSpan w:val="4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               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（盖 章）         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right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年   月   日</w:t>
            </w:r>
          </w:p>
        </w:tc>
        <w:tc>
          <w:tcPr>
            <w:tcW w:w="1615" w:type="dxa"/>
            <w:gridSpan w:val="4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所在功能区或行业主管部门审核意见</w:t>
            </w:r>
          </w:p>
        </w:tc>
        <w:tc>
          <w:tcPr>
            <w:tcW w:w="3390" w:type="dxa"/>
            <w:gridSpan w:val="4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550" w:right="0" w:hanging="525" w:hangingChars="25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550" w:right="0" w:hanging="525" w:hangingChars="25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             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（盖 章）         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right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2" w:hRule="atLeast"/>
          <w:jc w:val="center"/>
        </w:trPr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东部新区</w:t>
            </w:r>
            <w:r>
              <w:rPr>
                <w:rFonts w:hint="eastAsia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党工委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人才办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26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审核意见</w:t>
            </w:r>
          </w:p>
        </w:tc>
        <w:tc>
          <w:tcPr>
            <w:tcW w:w="8324" w:type="dxa"/>
            <w:gridSpan w:val="1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 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 xml:space="preserve">                  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 xml:space="preserve">（盖 章）         </w:t>
            </w:r>
          </w:p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jc w:val="right"/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83" w:hRule="atLeast"/>
          <w:jc w:val="center"/>
        </w:trPr>
        <w:tc>
          <w:tcPr>
            <w:tcW w:w="9652" w:type="dxa"/>
            <w:gridSpan w:val="13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eastAsia="zh-CN"/>
              </w:rPr>
              <w:t>本人承诺：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个人信息列入东部新区急需紧缺人才和高端人才信息库管理；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如离开东部新区工作，本人或</w:t>
            </w:r>
            <w:r>
              <w:rPr>
                <w:rFonts w:hint="eastAsia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用人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单位</w:t>
            </w:r>
            <w:r>
              <w:rPr>
                <w:rFonts w:hint="eastAsia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应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主动于离开前1个月内向新区</w:t>
            </w:r>
            <w:r>
              <w:rPr>
                <w:rFonts w:hint="eastAsia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党工委</w:t>
            </w: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人才办和行业主管部门报告；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b w:val="0"/>
                <w:bCs w:val="0"/>
                <w:kern w:val="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kern w:val="2"/>
                <w:highlight w:val="none"/>
                <w:lang w:val="en-US" w:eastAsia="zh-CN"/>
              </w:rPr>
              <w:t>本人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kern w:val="2"/>
                <w:highlight w:val="none"/>
                <w:lang w:val="en-US" w:eastAsia="zh-CN"/>
              </w:rPr>
              <w:t>为柔性引才，在东部新区范围内工作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kern w:val="2"/>
                <w:highlight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overflowPunct w:val="0"/>
              <w:spacing w:before="0" w:beforeAutospacing="0" w:after="0" w:afterAutospacing="0" w:line="340" w:lineRule="exact"/>
              <w:ind w:left="0" w:right="0"/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highlight w:val="none"/>
                <w:lang w:val="en-US" w:eastAsia="zh-CN"/>
              </w:rPr>
              <w:t>本人所提供的信息均真实有效，无弄虚作假；如经核实虚假，一切后果由本人承担。</w:t>
            </w:r>
          </w:p>
        </w:tc>
      </w:tr>
    </w:tbl>
    <w:p>
      <w:pPr>
        <w:ind w:firstLine="210" w:firstLineChars="100"/>
        <w:rPr>
          <w:rFonts w:hint="eastAsia"/>
          <w:lang w:val="en-US" w:eastAsia="zh-CN"/>
        </w:rPr>
      </w:pPr>
      <w:r>
        <w:rPr>
          <w:rFonts w:hint="default" w:ascii="Times New Roman" w:hAnsi="Times New Roman" w:eastAsia="方正仿宋_GBK" w:cs="Times New Roman"/>
          <w:highlight w:val="none"/>
          <w:lang w:eastAsia="zh-CN"/>
        </w:rPr>
        <w:t>本人签字：</w:t>
      </w:r>
      <w:r>
        <w:rPr>
          <w:rFonts w:hint="default" w:ascii="Times New Roman" w:hAnsi="Times New Roman" w:eastAsia="方正仿宋_GBK" w:cs="Times New Roman"/>
          <w:highlight w:val="none"/>
          <w:lang w:val="en-US" w:eastAsia="zh-CN"/>
        </w:rPr>
        <w:t xml:space="preserve">                                      </w:t>
      </w:r>
      <w:r>
        <w:rPr>
          <w:rFonts w:hint="default" w:ascii="Times New Roman" w:hAnsi="Times New Roman" w:eastAsia="方正仿宋_GBK" w:cs="Times New Roman"/>
          <w:highlight w:val="none"/>
        </w:rPr>
        <w:t xml:space="preserve">填报日期:  </w:t>
      </w:r>
      <w:r>
        <w:rPr>
          <w:rFonts w:hint="eastAsia" w:ascii="仿宋_GB2312" w:hAnsi="宋体" w:eastAsia="仿宋_GB2312" w:cs="Times New Roman"/>
          <w:highlight w:val="none"/>
        </w:rPr>
        <w:t xml:space="preserve">  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7E7DA1"/>
    <w:multiLevelType w:val="singleLevel"/>
    <w:tmpl w:val="617E7DA1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VhZjRhZGM5ZWRkMzExNWViMjk1ODE2Y2U2NmVhNGIifQ=="/>
  </w:docVars>
  <w:rsids>
    <w:rsidRoot w:val="79364F87"/>
    <w:rsid w:val="023B4560"/>
    <w:rsid w:val="055B6506"/>
    <w:rsid w:val="066B6E1B"/>
    <w:rsid w:val="080C2145"/>
    <w:rsid w:val="082960ED"/>
    <w:rsid w:val="0B9B4D5F"/>
    <w:rsid w:val="0C045F91"/>
    <w:rsid w:val="0DFE115F"/>
    <w:rsid w:val="10CF4D78"/>
    <w:rsid w:val="138818BC"/>
    <w:rsid w:val="1439526B"/>
    <w:rsid w:val="14657FDE"/>
    <w:rsid w:val="16EE1F4D"/>
    <w:rsid w:val="1D9052BC"/>
    <w:rsid w:val="21307981"/>
    <w:rsid w:val="25EF0D76"/>
    <w:rsid w:val="27305EA8"/>
    <w:rsid w:val="2E334EEB"/>
    <w:rsid w:val="301B67CE"/>
    <w:rsid w:val="310110EF"/>
    <w:rsid w:val="35745B77"/>
    <w:rsid w:val="3ABF1718"/>
    <w:rsid w:val="3CDC7A3F"/>
    <w:rsid w:val="3D124845"/>
    <w:rsid w:val="3FCC7393"/>
    <w:rsid w:val="41E3511A"/>
    <w:rsid w:val="47811F24"/>
    <w:rsid w:val="52931E65"/>
    <w:rsid w:val="53EA2DFE"/>
    <w:rsid w:val="54E67624"/>
    <w:rsid w:val="59475512"/>
    <w:rsid w:val="59D14444"/>
    <w:rsid w:val="5D6D50AF"/>
    <w:rsid w:val="62095C88"/>
    <w:rsid w:val="6689772D"/>
    <w:rsid w:val="66B467E4"/>
    <w:rsid w:val="6AE57311"/>
    <w:rsid w:val="75A4397A"/>
    <w:rsid w:val="783B7984"/>
    <w:rsid w:val="788106F2"/>
    <w:rsid w:val="7936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Times New Roman" w:hAnsi="Times New Roman" w:eastAsia="Times New Roman" w:cs="Times New Roman"/>
      <w:color w:val="000000"/>
      <w:sz w:val="24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2829</Words>
  <Characters>2885</Characters>
  <Lines>0</Lines>
  <Paragraphs>0</Paragraphs>
  <TotalTime>0</TotalTime>
  <ScaleCrop>false</ScaleCrop>
  <LinksUpToDate>false</LinksUpToDate>
  <CharactersWithSpaces>3170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2022-07-21T05:52:00Z</dcterms:created>
  <dc:creator>思无邪</dc:creator>
  <cp:lastModifiedBy>菁菁河边草</cp:lastModifiedBy>
  <cp:lastPrinted>2022-07-21T08:36:00Z</cp:lastPrinted>
  <dcterms:modified xsi:type="dcterms:W3CDTF">2022-11-18T09:00:39Z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8979EEF994594A37BC53C1B53332D4FE</vt:lpwstr>
  </property>
</Properties>
</file>