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600" w:lineRule="exact"/>
        <w:rPr>
          <w:rFonts w:ascii="黑体" w:hAnsi="黑体" w:eastAsia="黑体" w:cs="黑体"/>
          <w:sz w:val="32"/>
          <w:szCs w:val="32"/>
        </w:rPr>
      </w:pPr>
      <w:r>
        <w:rPr>
          <w:rFonts w:hint="eastAsia" w:ascii="黑体" w:hAnsi="黑体" w:eastAsia="黑体" w:cs="黑体"/>
          <w:sz w:val="32"/>
          <w:szCs w:val="32"/>
        </w:rPr>
        <w:t>附件</w:t>
      </w:r>
    </w:p>
    <w:p>
      <w:pPr>
        <w:spacing w:line="600" w:lineRule="exact"/>
        <w:rPr>
          <w:rFonts w:ascii="Times New Roman" w:hAnsi="Times New Roman" w:eastAsia="方正小标宋_GBK"/>
          <w:sz w:val="32"/>
          <w:szCs w:val="32"/>
        </w:rPr>
      </w:pPr>
    </w:p>
    <w:p>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宜宾市激励企业加大研发投入后补助</w:t>
      </w:r>
      <w:bookmarkStart w:id="1" w:name="_GoBack"/>
      <w:bookmarkEnd w:id="1"/>
    </w:p>
    <w:p>
      <w:pPr>
        <w:spacing w:line="600" w:lineRule="exact"/>
        <w:jc w:val="center"/>
        <w:rPr>
          <w:rFonts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sz w:val="44"/>
          <w:szCs w:val="44"/>
        </w:rPr>
        <w:t>实施暂行办法</w:t>
      </w:r>
    </w:p>
    <w:p>
      <w:pPr>
        <w:spacing w:line="600" w:lineRule="exact"/>
        <w:rPr>
          <w:rFonts w:ascii="Times New Roman" w:hAnsi="黑体" w:eastAsia="黑体"/>
          <w:sz w:val="32"/>
          <w:szCs w:val="32"/>
        </w:rPr>
      </w:pPr>
    </w:p>
    <w:p>
      <w:pPr>
        <w:spacing w:after="312" w:afterLines="100" w:line="600" w:lineRule="exact"/>
        <w:jc w:val="center"/>
        <w:rPr>
          <w:rFonts w:ascii="Times New Roman" w:hAnsi="Times New Roman" w:eastAsia="黑体"/>
          <w:sz w:val="32"/>
          <w:szCs w:val="32"/>
        </w:rPr>
      </w:pPr>
      <w:r>
        <w:rPr>
          <w:rFonts w:ascii="Times New Roman" w:hAnsi="黑体" w:eastAsia="黑体"/>
          <w:sz w:val="32"/>
          <w:szCs w:val="32"/>
        </w:rPr>
        <w:t>第一章总则</w:t>
      </w:r>
    </w:p>
    <w:p>
      <w:pPr>
        <w:spacing w:line="600" w:lineRule="exact"/>
        <w:ind w:firstLine="640" w:firstLineChars="200"/>
        <w:rPr>
          <w:rFonts w:ascii="Times New Roman" w:hAnsi="Times New Roman" w:eastAsia="仿宋_GB2312"/>
          <w:sz w:val="32"/>
          <w:szCs w:val="32"/>
        </w:rPr>
      </w:pPr>
      <w:r>
        <w:rPr>
          <w:rFonts w:hint="eastAsia" w:ascii="黑体" w:hAnsi="黑体" w:eastAsia="黑体" w:cs="黑体"/>
          <w:bCs/>
          <w:sz w:val="32"/>
          <w:szCs w:val="32"/>
        </w:rPr>
        <w:t>第一条</w:t>
      </w:r>
      <w:r>
        <w:rPr>
          <w:rFonts w:hint="eastAsia" w:ascii="Times New Roman" w:hAnsi="Times New Roman" w:eastAsia="仿宋_GB2312"/>
          <w:b/>
          <w:sz w:val="32"/>
          <w:szCs w:val="32"/>
        </w:rPr>
        <w:t>　</w:t>
      </w:r>
      <w:r>
        <w:rPr>
          <w:rFonts w:ascii="Times New Roman" w:hAnsi="Times New Roman" w:eastAsia="仿宋_GB2312"/>
          <w:sz w:val="32"/>
          <w:szCs w:val="32"/>
        </w:rPr>
        <w:t>为深入实施创新驱动发展战略，激发创新主体活力，引导企业加大研发投入，增强企业自主创新能力，推动我市企业高质量发展，根据《四川省激励企业加大研发投入后补助实施暂行办法》（川科高〔2020〕21号）</w:t>
      </w:r>
      <w:r>
        <w:rPr>
          <w:rFonts w:hint="eastAsia" w:ascii="Times New Roman" w:hAnsi="Times New Roman" w:eastAsia="仿宋_GB2312"/>
          <w:sz w:val="32"/>
          <w:szCs w:val="22"/>
        </w:rPr>
        <w:t>和《中共宜宾市委 宜宾市人民政府关于印发&lt;宜宾市推动制造业高质量发展加快建设现代工业强市十条政策措施&gt;的通知》（宜委发</w:t>
      </w:r>
      <w:r>
        <w:rPr>
          <w:rFonts w:ascii="Times New Roman" w:hAnsi="Times New Roman" w:eastAsia="仿宋_GB2312"/>
          <w:sz w:val="32"/>
          <w:szCs w:val="32"/>
        </w:rPr>
        <w:t>〔2020〕</w:t>
      </w:r>
      <w:r>
        <w:rPr>
          <w:rFonts w:hint="eastAsia" w:ascii="Times New Roman" w:hAnsi="Times New Roman" w:eastAsia="仿宋_GB2312"/>
          <w:sz w:val="32"/>
          <w:szCs w:val="32"/>
        </w:rPr>
        <w:t>15</w:t>
      </w:r>
      <w:r>
        <w:rPr>
          <w:rFonts w:ascii="Times New Roman" w:hAnsi="Times New Roman" w:eastAsia="仿宋_GB2312"/>
          <w:sz w:val="32"/>
          <w:szCs w:val="32"/>
        </w:rPr>
        <w:t>号</w:t>
      </w:r>
      <w:r>
        <w:rPr>
          <w:rFonts w:hint="eastAsia" w:ascii="Times New Roman" w:hAnsi="Times New Roman" w:eastAsia="仿宋_GB2312"/>
          <w:sz w:val="32"/>
          <w:szCs w:val="22"/>
        </w:rPr>
        <w:t>）</w:t>
      </w:r>
      <w:r>
        <w:rPr>
          <w:rFonts w:ascii="Times New Roman" w:hAnsi="Times New Roman" w:eastAsia="仿宋_GB2312"/>
          <w:sz w:val="32"/>
          <w:szCs w:val="32"/>
        </w:rPr>
        <w:t>等相关文件精神，结合我市实际，制定本办法。</w:t>
      </w:r>
    </w:p>
    <w:p>
      <w:pPr>
        <w:spacing w:line="600" w:lineRule="exact"/>
        <w:ind w:firstLine="640" w:firstLineChars="200"/>
        <w:rPr>
          <w:rFonts w:ascii="Times New Roman" w:hAnsi="Times New Roman" w:eastAsia="仿宋_GB2312"/>
          <w:sz w:val="32"/>
          <w:szCs w:val="32"/>
        </w:rPr>
      </w:pPr>
      <w:r>
        <w:rPr>
          <w:rFonts w:hint="eastAsia" w:ascii="黑体" w:hAnsi="黑体" w:eastAsia="黑体" w:cs="黑体"/>
          <w:bCs/>
          <w:sz w:val="32"/>
          <w:szCs w:val="32"/>
        </w:rPr>
        <w:t>第二条</w:t>
      </w:r>
      <w:r>
        <w:rPr>
          <w:rFonts w:hint="eastAsia" w:ascii="Times New Roman" w:hAnsi="Times New Roman" w:eastAsia="仿宋_GB2312"/>
          <w:sz w:val="32"/>
          <w:szCs w:val="32"/>
        </w:rPr>
        <w:t>　</w:t>
      </w:r>
      <w:r>
        <w:rPr>
          <w:rFonts w:ascii="Times New Roman" w:hAnsi="Times New Roman" w:eastAsia="仿宋_GB2312"/>
          <w:sz w:val="32"/>
          <w:szCs w:val="32"/>
        </w:rPr>
        <w:t>本办法所称企业研发是指企业为增加知识存量以及涉及已有知识的新应用而进行的创造性、系统性工作，包括基础研究、应用研究和试验发展三种类型。本办法所指企业研发投入是指企业为实施研发活动而实际发生的全部经费支出（不含财政科技投入）。本办法激励企业加大研发投入是指在宜宾市科技计划中统筹安排财政资金对企业研发投入的增量部分直接给予后补助。</w:t>
      </w:r>
    </w:p>
    <w:p>
      <w:pPr>
        <w:spacing w:line="580" w:lineRule="exact"/>
        <w:ind w:firstLine="640" w:firstLineChars="200"/>
        <w:rPr>
          <w:rFonts w:ascii="Times New Roman" w:hAnsi="Times New Roman" w:eastAsia="仿宋_GB2312"/>
          <w:sz w:val="32"/>
          <w:szCs w:val="32"/>
        </w:rPr>
      </w:pPr>
      <w:r>
        <w:rPr>
          <w:rFonts w:hint="eastAsia" w:ascii="黑体" w:hAnsi="黑体" w:eastAsia="黑体" w:cs="黑体"/>
          <w:bCs/>
          <w:sz w:val="32"/>
          <w:szCs w:val="32"/>
        </w:rPr>
        <w:t>第三条</w:t>
      </w:r>
      <w:r>
        <w:rPr>
          <w:rFonts w:hint="eastAsia" w:ascii="Times New Roman" w:hAnsi="Times New Roman" w:eastAsia="仿宋_GB2312"/>
          <w:b/>
          <w:sz w:val="32"/>
          <w:szCs w:val="32"/>
        </w:rPr>
        <w:t>　</w:t>
      </w:r>
      <w:r>
        <w:rPr>
          <w:rFonts w:hint="eastAsia" w:ascii="Times New Roman" w:hAnsi="Times New Roman" w:eastAsia="仿宋_GB2312"/>
          <w:sz w:val="32"/>
          <w:szCs w:val="32"/>
        </w:rPr>
        <w:t>市</w:t>
      </w:r>
      <w:r>
        <w:rPr>
          <w:rFonts w:ascii="Times New Roman" w:hAnsi="Times New Roman" w:eastAsia="仿宋_GB2312"/>
          <w:sz w:val="32"/>
          <w:szCs w:val="32"/>
        </w:rPr>
        <w:t>科技局主要负责组织政策制度制定、资金申报、材料审核等工作。</w:t>
      </w:r>
      <w:r>
        <w:rPr>
          <w:rFonts w:hint="eastAsia" w:ascii="Times New Roman" w:hAnsi="Times New Roman" w:eastAsia="仿宋_GB2312"/>
          <w:sz w:val="32"/>
          <w:szCs w:val="32"/>
        </w:rPr>
        <w:t>市</w:t>
      </w:r>
      <w:r>
        <w:rPr>
          <w:rFonts w:ascii="Times New Roman" w:hAnsi="Times New Roman" w:eastAsia="仿宋_GB2312"/>
          <w:sz w:val="32"/>
          <w:szCs w:val="32"/>
        </w:rPr>
        <w:t>财政局主要负责专项资金预算管理、资金下达等工作。</w:t>
      </w:r>
      <w:r>
        <w:rPr>
          <w:rFonts w:hint="eastAsia" w:ascii="Times New Roman" w:hAnsi="Times New Roman" w:eastAsia="仿宋_GB2312"/>
          <w:sz w:val="32"/>
          <w:szCs w:val="32"/>
        </w:rPr>
        <w:t>宜宾市税务局主要负责指导区县税务部门开展税前加计扣除研发投入审核等工作</w:t>
      </w:r>
      <w:r>
        <w:rPr>
          <w:rFonts w:ascii="Times New Roman" w:hAnsi="Times New Roman" w:eastAsia="仿宋_GB2312"/>
          <w:sz w:val="32"/>
          <w:szCs w:val="22"/>
        </w:rPr>
        <w:t>。</w:t>
      </w:r>
      <w:r>
        <w:rPr>
          <w:rFonts w:ascii="Times New Roman" w:hAnsi="Times New Roman" w:eastAsia="仿宋_GB2312"/>
          <w:sz w:val="32"/>
          <w:szCs w:val="32"/>
        </w:rPr>
        <w:t>各区</w:t>
      </w:r>
      <w:r>
        <w:rPr>
          <w:rFonts w:hint="eastAsia" w:ascii="Times New Roman" w:hAnsi="Times New Roman" w:eastAsia="仿宋_GB2312"/>
          <w:sz w:val="32"/>
          <w:szCs w:val="32"/>
        </w:rPr>
        <w:t>县科技主管部门</w:t>
      </w:r>
      <w:r>
        <w:rPr>
          <w:rFonts w:ascii="Times New Roman" w:hAnsi="Times New Roman" w:eastAsia="仿宋_GB2312"/>
          <w:sz w:val="32"/>
          <w:szCs w:val="32"/>
        </w:rPr>
        <w:t>、财政部门、税务部门是企业研发投入补助的实施、管理和监督部门，分别履行相应的管理职责。</w:t>
      </w:r>
    </w:p>
    <w:p>
      <w:pPr>
        <w:spacing w:after="312" w:afterLines="100" w:line="580" w:lineRule="exact"/>
        <w:ind w:firstLine="640" w:firstLineChars="200"/>
        <w:rPr>
          <w:rFonts w:ascii="Times New Roman" w:hAnsi="Times New Roman" w:eastAsia="仿宋_GB2312"/>
          <w:sz w:val="32"/>
          <w:szCs w:val="32"/>
        </w:rPr>
      </w:pPr>
      <w:r>
        <w:rPr>
          <w:rFonts w:hint="eastAsia" w:ascii="黑体" w:hAnsi="黑体" w:eastAsia="黑体" w:cs="黑体"/>
          <w:bCs/>
          <w:sz w:val="32"/>
          <w:szCs w:val="32"/>
        </w:rPr>
        <w:t>第四条</w:t>
      </w:r>
      <w:r>
        <w:rPr>
          <w:rFonts w:hint="eastAsia" w:ascii="Times New Roman" w:hAnsi="Times New Roman" w:eastAsia="仿宋_GB2312"/>
          <w:sz w:val="32"/>
          <w:szCs w:val="32"/>
        </w:rPr>
        <w:t>　</w:t>
      </w:r>
      <w:r>
        <w:rPr>
          <w:rFonts w:ascii="Times New Roman" w:hAnsi="Times New Roman" w:eastAsia="仿宋_GB2312"/>
          <w:sz w:val="32"/>
          <w:szCs w:val="32"/>
        </w:rPr>
        <w:t>企业研发投入补助的专项资金管理应遵循依法依规、公平公正、择优支持、简便操作的原则。</w:t>
      </w:r>
    </w:p>
    <w:p>
      <w:pPr>
        <w:spacing w:after="312" w:afterLines="100" w:line="580" w:lineRule="exact"/>
        <w:jc w:val="center"/>
        <w:rPr>
          <w:rFonts w:ascii="Times New Roman" w:hAnsi="Times New Roman" w:eastAsia="黑体"/>
          <w:sz w:val="32"/>
          <w:szCs w:val="32"/>
        </w:rPr>
      </w:pPr>
      <w:r>
        <w:rPr>
          <w:rFonts w:ascii="Times New Roman" w:hAnsi="黑体" w:eastAsia="黑体"/>
          <w:sz w:val="32"/>
          <w:szCs w:val="32"/>
        </w:rPr>
        <w:t>第二章补助对象</w:t>
      </w:r>
    </w:p>
    <w:p>
      <w:pPr>
        <w:spacing w:line="580" w:lineRule="exact"/>
        <w:ind w:firstLine="640" w:firstLineChars="200"/>
        <w:rPr>
          <w:rFonts w:ascii="Times New Roman" w:hAnsi="Times New Roman" w:eastAsia="仿宋_GB2312"/>
          <w:bCs/>
          <w:sz w:val="32"/>
          <w:szCs w:val="22"/>
        </w:rPr>
      </w:pPr>
      <w:r>
        <w:rPr>
          <w:rFonts w:hint="eastAsia" w:ascii="黑体" w:hAnsi="黑体" w:eastAsia="黑体" w:cs="黑体"/>
          <w:bCs/>
          <w:sz w:val="32"/>
          <w:szCs w:val="32"/>
        </w:rPr>
        <w:t>第五条</w:t>
      </w:r>
      <w:r>
        <w:rPr>
          <w:rFonts w:hint="eastAsia" w:ascii="Times New Roman" w:hAnsi="Times New Roman" w:eastAsia="仿宋_GB2312"/>
          <w:b/>
          <w:sz w:val="32"/>
          <w:szCs w:val="22"/>
        </w:rPr>
        <w:t>　</w:t>
      </w:r>
      <w:r>
        <w:rPr>
          <w:rFonts w:ascii="Times New Roman" w:hAnsi="Times New Roman" w:eastAsia="仿宋_GB2312"/>
          <w:bCs/>
          <w:sz w:val="32"/>
          <w:szCs w:val="22"/>
        </w:rPr>
        <w:t>申请企业研发投入补助的企业应同时具备以下条件：</w:t>
      </w:r>
    </w:p>
    <w:p>
      <w:pPr>
        <w:spacing w:line="58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（一）核算周期内（具体年度以申报通知为准，通常为两年）按规定在汇算清缴期内申报享受了研发费用加计扣除企业所得税优惠政策，且研发投入增量超过</w:t>
      </w:r>
      <w:r>
        <w:rPr>
          <w:rFonts w:hint="eastAsia" w:ascii="Times New Roman" w:hAnsi="Times New Roman" w:eastAsia="仿宋_GB2312"/>
          <w:sz w:val="32"/>
          <w:szCs w:val="22"/>
        </w:rPr>
        <w:t>2</w:t>
      </w:r>
      <w:r>
        <w:rPr>
          <w:rFonts w:ascii="Times New Roman" w:hAnsi="Times New Roman" w:eastAsia="仿宋_GB2312"/>
          <w:sz w:val="32"/>
          <w:szCs w:val="22"/>
        </w:rPr>
        <w:t>00万元（含）。</w:t>
      </w:r>
    </w:p>
    <w:p>
      <w:pPr>
        <w:spacing w:line="58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（二）</w:t>
      </w:r>
      <w:r>
        <w:rPr>
          <w:rFonts w:hint="eastAsia" w:ascii="Times New Roman" w:hAnsi="Times New Roman" w:eastAsia="仿宋_GB2312"/>
          <w:sz w:val="32"/>
          <w:szCs w:val="22"/>
        </w:rPr>
        <w:t>规模以上企业在核算周期内向统计部门报送了研发活动数据，</w:t>
      </w:r>
      <w:r>
        <w:rPr>
          <w:rFonts w:ascii="Times New Roman" w:hAnsi="Times New Roman" w:eastAsia="仿宋_GB2312"/>
          <w:sz w:val="32"/>
          <w:szCs w:val="22"/>
        </w:rPr>
        <w:t>且较上一年度研发投入增量超过</w:t>
      </w:r>
      <w:r>
        <w:rPr>
          <w:rFonts w:hint="eastAsia" w:ascii="Times New Roman" w:hAnsi="Times New Roman" w:eastAsia="仿宋_GB2312"/>
          <w:sz w:val="32"/>
          <w:szCs w:val="22"/>
        </w:rPr>
        <w:t>2</w:t>
      </w:r>
      <w:r>
        <w:rPr>
          <w:rFonts w:ascii="Times New Roman" w:hAnsi="Times New Roman" w:eastAsia="仿宋_GB2312"/>
          <w:sz w:val="32"/>
          <w:szCs w:val="22"/>
        </w:rPr>
        <w:t>00万元（含）。</w:t>
      </w:r>
    </w:p>
    <w:p>
      <w:pPr>
        <w:spacing w:line="58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（三）在宜宾市行政区域内设立、登记、注册，具有独立法人资格，未被列入失信名单，未发生安全、环保等问题。</w:t>
      </w:r>
    </w:p>
    <w:p>
      <w:pPr>
        <w:spacing w:line="580" w:lineRule="exact"/>
        <w:ind w:firstLine="640" w:firstLineChars="200"/>
        <w:rPr>
          <w:rFonts w:ascii="Times New Roman" w:hAnsi="Times New Roman" w:eastAsia="仿宋_GB2312"/>
          <w:sz w:val="32"/>
          <w:szCs w:val="32"/>
        </w:rPr>
      </w:pPr>
      <w:r>
        <w:rPr>
          <w:rFonts w:hint="eastAsia" w:ascii="黑体" w:hAnsi="黑体" w:eastAsia="黑体" w:cs="黑体"/>
          <w:bCs/>
          <w:sz w:val="32"/>
          <w:szCs w:val="32"/>
        </w:rPr>
        <w:t>第六条</w:t>
      </w:r>
      <w:r>
        <w:rPr>
          <w:rFonts w:hint="eastAsia" w:ascii="Times New Roman" w:hAnsi="Times New Roman" w:eastAsia="楷体_GB2312"/>
          <w:b/>
          <w:sz w:val="32"/>
          <w:szCs w:val="22"/>
        </w:rPr>
        <w:t>　</w:t>
      </w:r>
      <w:r>
        <w:rPr>
          <w:rFonts w:hint="eastAsia" w:ascii="Times New Roman" w:hAnsi="Times New Roman" w:eastAsia="仿宋_GB2312"/>
          <w:sz w:val="32"/>
          <w:szCs w:val="32"/>
        </w:rPr>
        <w:t>成立</w:t>
      </w:r>
      <w:r>
        <w:rPr>
          <w:rFonts w:ascii="Times New Roman" w:hAnsi="Times New Roman" w:eastAsia="仿宋_GB2312"/>
          <w:sz w:val="32"/>
          <w:szCs w:val="32"/>
        </w:rPr>
        <w:t>不满两年的企业，可以只提供核算周期末年报税务部门和统计部门的研发投入数据，核算周期首年研发投入按零测算。</w:t>
      </w:r>
    </w:p>
    <w:p>
      <w:pPr>
        <w:tabs>
          <w:tab w:val="center" w:pos="4153"/>
          <w:tab w:val="right" w:pos="8306"/>
        </w:tabs>
        <w:snapToGrid w:val="0"/>
        <w:spacing w:line="560" w:lineRule="exact"/>
        <w:ind w:firstLine="640" w:firstLineChars="200"/>
        <w:jc w:val="left"/>
        <w:rPr>
          <w:rFonts w:ascii="Times New Roman" w:hAnsi="Times New Roman" w:eastAsia="楷体_GB2312"/>
          <w:b/>
          <w:sz w:val="32"/>
          <w:szCs w:val="22"/>
        </w:rPr>
      </w:pPr>
      <w:r>
        <w:rPr>
          <w:rFonts w:hint="eastAsia" w:ascii="黑体" w:hAnsi="黑体" w:eastAsia="黑体" w:cs="黑体"/>
          <w:bCs/>
          <w:sz w:val="32"/>
          <w:szCs w:val="32"/>
        </w:rPr>
        <w:t>第七条</w:t>
      </w:r>
      <w:r>
        <w:rPr>
          <w:rFonts w:hint="eastAsia" w:ascii="Times New Roman" w:hAnsi="Times New Roman" w:eastAsia="楷体_GB2312"/>
          <w:b/>
          <w:sz w:val="32"/>
          <w:szCs w:val="18"/>
        </w:rPr>
        <w:t>　</w:t>
      </w:r>
      <w:r>
        <w:rPr>
          <w:rFonts w:hint="eastAsia" w:ascii="Times New Roman" w:hAnsi="Times New Roman" w:eastAsia="仿宋_GB2312"/>
          <w:sz w:val="32"/>
          <w:szCs w:val="22"/>
        </w:rPr>
        <w:t>已经享受了省级财政研发投入直补的企业，不再重复申报当年市级财政研发投入补助。</w:t>
      </w:r>
    </w:p>
    <w:p>
      <w:pPr>
        <w:spacing w:after="312" w:afterLines="100" w:line="600" w:lineRule="exact"/>
        <w:jc w:val="center"/>
        <w:rPr>
          <w:rFonts w:ascii="Times New Roman" w:hAnsi="黑体" w:eastAsia="黑体"/>
          <w:sz w:val="32"/>
          <w:szCs w:val="32"/>
        </w:rPr>
      </w:pPr>
    </w:p>
    <w:p>
      <w:pPr>
        <w:spacing w:after="312" w:afterLines="100" w:line="600" w:lineRule="exact"/>
        <w:jc w:val="center"/>
        <w:rPr>
          <w:rFonts w:ascii="Times New Roman" w:hAnsi="Times New Roman" w:eastAsia="黑体"/>
          <w:sz w:val="32"/>
          <w:szCs w:val="32"/>
        </w:rPr>
      </w:pPr>
      <w:r>
        <w:rPr>
          <w:rFonts w:ascii="Times New Roman" w:hAnsi="黑体" w:eastAsia="黑体"/>
          <w:sz w:val="32"/>
          <w:szCs w:val="32"/>
        </w:rPr>
        <w:t>第三章补助依据</w:t>
      </w:r>
      <w:r>
        <w:rPr>
          <w:rFonts w:hint="eastAsia" w:ascii="Times New Roman" w:hAnsi="黑体" w:eastAsia="黑体"/>
          <w:sz w:val="32"/>
          <w:szCs w:val="32"/>
        </w:rPr>
        <w:t>及标准</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第八条</w:t>
      </w:r>
      <w:r>
        <w:rPr>
          <w:rFonts w:hint="eastAsia" w:ascii="Times New Roman" w:hAnsi="Times New Roman" w:eastAsia="楷体_GB2312"/>
          <w:b/>
          <w:sz w:val="32"/>
          <w:szCs w:val="22"/>
        </w:rPr>
        <w:t>　</w:t>
      </w:r>
      <w:r>
        <w:rPr>
          <w:rFonts w:ascii="Times New Roman" w:hAnsi="Times New Roman" w:eastAsia="仿宋_GB2312"/>
          <w:sz w:val="32"/>
          <w:szCs w:val="22"/>
        </w:rPr>
        <w:t>企业研发投入补助采取奖励性后补助且一次性拨付的方式。</w:t>
      </w:r>
    </w:p>
    <w:p>
      <w:pPr>
        <w:spacing w:line="600" w:lineRule="exact"/>
        <w:ind w:firstLine="640" w:firstLineChars="200"/>
        <w:rPr>
          <w:rFonts w:ascii="Times New Roman" w:hAnsi="黑体" w:eastAsia="黑体"/>
          <w:b/>
          <w:bCs/>
          <w:sz w:val="32"/>
          <w:szCs w:val="32"/>
        </w:rPr>
      </w:pPr>
      <w:r>
        <w:rPr>
          <w:rFonts w:hint="eastAsia" w:ascii="黑体" w:hAnsi="黑体" w:eastAsia="黑体" w:cs="黑体"/>
          <w:bCs/>
          <w:sz w:val="32"/>
          <w:szCs w:val="32"/>
        </w:rPr>
        <w:t>第九条</w:t>
      </w:r>
      <w:r>
        <w:rPr>
          <w:rFonts w:hint="eastAsia" w:ascii="Times New Roman" w:hAnsi="Times New Roman" w:eastAsia="楷体_GB2312"/>
          <w:b/>
          <w:sz w:val="32"/>
          <w:szCs w:val="32"/>
        </w:rPr>
        <w:t>　</w:t>
      </w:r>
      <w:r>
        <w:rPr>
          <w:rFonts w:ascii="Times New Roman" w:hAnsi="Times New Roman" w:eastAsia="仿宋_GB2312"/>
          <w:sz w:val="32"/>
          <w:szCs w:val="22"/>
        </w:rPr>
        <w:t>企业申请研发投入补助，</w:t>
      </w:r>
      <w:r>
        <w:rPr>
          <w:rFonts w:hint="eastAsia" w:ascii="Times New Roman" w:hAnsi="Times New Roman" w:eastAsia="仿宋_GB2312"/>
          <w:sz w:val="32"/>
          <w:szCs w:val="22"/>
        </w:rPr>
        <w:t>以企业核算周期末年和核算周期首年所得税汇算清缴向税务部门申报的享受税前加计扣除的研发投入增量部分作为计算依据。</w:t>
      </w:r>
    </w:p>
    <w:p>
      <w:pPr>
        <w:spacing w:line="600" w:lineRule="exact"/>
        <w:ind w:firstLine="648"/>
        <w:rPr>
          <w:rFonts w:ascii="Times New Roman" w:hAnsi="Times New Roman" w:eastAsia="仿宋_GB2312"/>
          <w:sz w:val="32"/>
          <w:szCs w:val="32"/>
        </w:rPr>
      </w:pPr>
      <w:r>
        <w:rPr>
          <w:rFonts w:hint="eastAsia" w:ascii="黑体" w:hAnsi="黑体" w:eastAsia="黑体" w:cs="黑体"/>
          <w:bCs/>
          <w:sz w:val="32"/>
          <w:szCs w:val="32"/>
        </w:rPr>
        <w:t>第十条</w:t>
      </w:r>
      <w:r>
        <w:rPr>
          <w:rFonts w:hint="eastAsia" w:ascii="Times New Roman" w:hAnsi="Times New Roman" w:eastAsia="楷体_GB2312"/>
          <w:b/>
          <w:sz w:val="32"/>
          <w:szCs w:val="22"/>
        </w:rPr>
        <w:t>　</w:t>
      </w:r>
      <w:r>
        <w:rPr>
          <w:rFonts w:ascii="Times New Roman" w:hAnsi="Times New Roman" w:eastAsia="仿宋_GB2312"/>
          <w:sz w:val="32"/>
          <w:szCs w:val="32"/>
        </w:rPr>
        <w:t>企业研发投入后补助额度采用分段超额累退比例法计算</w:t>
      </w:r>
      <w:r>
        <w:rPr>
          <w:rFonts w:hint="eastAsia" w:ascii="Times New Roman" w:hAnsi="Times New Roman" w:eastAsia="仿宋_GB2312"/>
          <w:sz w:val="32"/>
          <w:szCs w:val="32"/>
        </w:rPr>
        <w:t>：</w:t>
      </w:r>
      <w:r>
        <w:rPr>
          <w:rFonts w:ascii="Times New Roman" w:hAnsi="Times New Roman" w:eastAsia="仿宋_GB2312"/>
          <w:sz w:val="32"/>
          <w:szCs w:val="32"/>
        </w:rPr>
        <w:t>增量超过</w:t>
      </w:r>
      <w:r>
        <w:rPr>
          <w:rFonts w:hint="eastAsia" w:ascii="Times New Roman" w:hAnsi="Times New Roman" w:eastAsia="仿宋_GB2312"/>
          <w:sz w:val="32"/>
          <w:szCs w:val="32"/>
        </w:rPr>
        <w:t>2</w:t>
      </w:r>
      <w:r>
        <w:rPr>
          <w:rFonts w:ascii="Times New Roman" w:hAnsi="Times New Roman" w:eastAsia="仿宋_GB2312"/>
          <w:sz w:val="32"/>
          <w:szCs w:val="32"/>
        </w:rPr>
        <w:t>00万元</w:t>
      </w:r>
      <w:r>
        <w:rPr>
          <w:rFonts w:hint="eastAsia" w:ascii="Times New Roman" w:hAnsi="Times New Roman" w:eastAsia="仿宋_GB2312"/>
          <w:sz w:val="32"/>
          <w:szCs w:val="32"/>
        </w:rPr>
        <w:t>（含）</w:t>
      </w:r>
      <w:r>
        <w:rPr>
          <w:rFonts w:ascii="Times New Roman" w:hAnsi="Times New Roman" w:eastAsia="仿宋_GB2312"/>
          <w:sz w:val="32"/>
          <w:szCs w:val="32"/>
        </w:rPr>
        <w:t>至1000万元（含）的部分，按3%给予补助；超过1000万元至5000万元（含）的部分，按2%给予补助；超过5000万元至10000万元（含）的部分，按1%给予补助；超过10000万元的部分，按0.5%给予补助。最终补助额度即为分段计算额度的总和，最高</w:t>
      </w:r>
      <w:r>
        <w:rPr>
          <w:rFonts w:hint="eastAsia" w:ascii="Times New Roman" w:hAnsi="Times New Roman" w:eastAsia="仿宋_GB2312"/>
          <w:sz w:val="32"/>
          <w:szCs w:val="32"/>
        </w:rPr>
        <w:t>补助金额</w:t>
      </w:r>
      <w:r>
        <w:rPr>
          <w:rFonts w:ascii="Times New Roman" w:hAnsi="Times New Roman" w:eastAsia="仿宋_GB2312"/>
          <w:sz w:val="32"/>
          <w:szCs w:val="32"/>
        </w:rPr>
        <w:t>不超过200万元。</w:t>
      </w:r>
    </w:p>
    <w:p>
      <w:pPr>
        <w:spacing w:after="312" w:afterLines="100" w:line="600" w:lineRule="exact"/>
        <w:ind w:firstLine="640" w:firstLineChars="200"/>
        <w:rPr>
          <w:rFonts w:ascii="Times New Roman" w:hAnsi="黑体" w:eastAsia="黑体"/>
          <w:b/>
          <w:bCs/>
          <w:sz w:val="32"/>
          <w:szCs w:val="32"/>
        </w:rPr>
      </w:pPr>
      <w:r>
        <w:rPr>
          <w:rFonts w:hint="eastAsia" w:ascii="黑体" w:hAnsi="黑体" w:eastAsia="黑体" w:cs="黑体"/>
          <w:bCs/>
          <w:sz w:val="32"/>
          <w:szCs w:val="32"/>
        </w:rPr>
        <w:t>第十一条</w:t>
      </w:r>
      <w:r>
        <w:rPr>
          <w:rFonts w:hint="eastAsia" w:ascii="Times New Roman" w:hAnsi="Times New Roman" w:eastAsia="楷体_GB2312"/>
          <w:b/>
          <w:sz w:val="32"/>
          <w:szCs w:val="22"/>
        </w:rPr>
        <w:t>　</w:t>
      </w:r>
      <w:r>
        <w:rPr>
          <w:rFonts w:ascii="Times New Roman" w:hAnsi="Times New Roman" w:eastAsia="仿宋_GB2312"/>
          <w:sz w:val="32"/>
          <w:szCs w:val="22"/>
          <w:lang w:val="zh-CN"/>
        </w:rPr>
        <w:t>对符合条件且研发投入增量贡献较大的企业申报的科技计划项目予以优先支持。</w:t>
      </w:r>
    </w:p>
    <w:p>
      <w:pPr>
        <w:spacing w:after="312" w:afterLines="100" w:line="600" w:lineRule="exact"/>
        <w:jc w:val="center"/>
        <w:rPr>
          <w:rFonts w:ascii="Times New Roman" w:hAnsi="Times New Roman" w:eastAsia="黑体"/>
          <w:sz w:val="32"/>
          <w:szCs w:val="32"/>
        </w:rPr>
      </w:pPr>
      <w:r>
        <w:rPr>
          <w:rFonts w:ascii="Times New Roman" w:hAnsi="黑体" w:eastAsia="黑体"/>
          <w:sz w:val="32"/>
          <w:szCs w:val="32"/>
        </w:rPr>
        <w:t>第</w:t>
      </w:r>
      <w:r>
        <w:rPr>
          <w:rFonts w:hint="eastAsia" w:ascii="Times New Roman" w:hAnsi="黑体" w:eastAsia="黑体"/>
          <w:sz w:val="32"/>
          <w:szCs w:val="32"/>
        </w:rPr>
        <w:t>四</w:t>
      </w:r>
      <w:r>
        <w:rPr>
          <w:rFonts w:ascii="Times New Roman" w:hAnsi="黑体" w:eastAsia="黑体"/>
          <w:sz w:val="32"/>
          <w:szCs w:val="32"/>
        </w:rPr>
        <w:t>章申报程序</w:t>
      </w:r>
    </w:p>
    <w:p>
      <w:pPr>
        <w:spacing w:line="600" w:lineRule="exact"/>
        <w:ind w:firstLine="640" w:firstLineChars="200"/>
        <w:rPr>
          <w:rFonts w:ascii="Times New Roman" w:hAnsi="Times New Roman" w:eastAsia="仿宋_GB2312"/>
          <w:b/>
          <w:sz w:val="32"/>
          <w:szCs w:val="22"/>
        </w:rPr>
      </w:pPr>
      <w:r>
        <w:rPr>
          <w:rFonts w:hint="eastAsia" w:ascii="黑体" w:hAnsi="黑体" w:eastAsia="黑体" w:cs="黑体"/>
          <w:bCs/>
          <w:sz w:val="32"/>
          <w:szCs w:val="32"/>
        </w:rPr>
        <w:t>第十二条</w:t>
      </w:r>
      <w:r>
        <w:rPr>
          <w:rFonts w:hint="eastAsia" w:ascii="Times New Roman" w:hAnsi="Times New Roman" w:eastAsia="楷体_GB2312"/>
          <w:b/>
          <w:sz w:val="32"/>
          <w:szCs w:val="22"/>
        </w:rPr>
        <w:t>　</w:t>
      </w:r>
      <w:r>
        <w:rPr>
          <w:rFonts w:ascii="Times New Roman" w:hAnsi="Times New Roman" w:eastAsia="仿宋_GB2312"/>
          <w:sz w:val="32"/>
          <w:szCs w:val="22"/>
        </w:rPr>
        <w:t>发布通知。市科技局会同市财政局、</w:t>
      </w:r>
      <w:r>
        <w:rPr>
          <w:rFonts w:hint="eastAsia" w:ascii="Times New Roman" w:hAnsi="Times New Roman" w:eastAsia="仿宋_GB2312"/>
          <w:sz w:val="32"/>
          <w:szCs w:val="32"/>
        </w:rPr>
        <w:t>宜宾</w:t>
      </w:r>
      <w:r>
        <w:rPr>
          <w:rFonts w:hint="eastAsia" w:ascii="Times New Roman" w:hAnsi="Times New Roman" w:eastAsia="仿宋_GB2312"/>
          <w:sz w:val="32"/>
          <w:szCs w:val="22"/>
        </w:rPr>
        <w:t>市税务局</w:t>
      </w:r>
      <w:r>
        <w:rPr>
          <w:rFonts w:ascii="Times New Roman" w:hAnsi="Times New Roman" w:eastAsia="仿宋_GB2312"/>
          <w:sz w:val="32"/>
          <w:szCs w:val="22"/>
        </w:rPr>
        <w:t>印发年度申报企业研发投入补助的通知，明确申报相关要求、具体流程等。</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第十三条</w:t>
      </w:r>
      <w:r>
        <w:rPr>
          <w:rFonts w:hint="eastAsia" w:ascii="Times New Roman" w:hAnsi="Times New Roman" w:eastAsia="楷体_GB2312"/>
          <w:b/>
          <w:sz w:val="32"/>
          <w:szCs w:val="22"/>
        </w:rPr>
        <w:t>　</w:t>
      </w:r>
      <w:r>
        <w:rPr>
          <w:rFonts w:ascii="Times New Roman" w:hAnsi="Times New Roman" w:eastAsia="仿宋_GB2312"/>
          <w:sz w:val="32"/>
          <w:szCs w:val="22"/>
        </w:rPr>
        <w:t>企业申报。企业按申报通知要求，向区县科技主管部门提交补助申请表和相关材料</w:t>
      </w:r>
      <w:r>
        <w:rPr>
          <w:rFonts w:hint="eastAsia" w:ascii="Times New Roman" w:hAnsi="Times New Roman" w:eastAsia="仿宋_GB2312"/>
          <w:sz w:val="32"/>
          <w:szCs w:val="22"/>
        </w:rPr>
        <w:t>（市属以上企业直接上报市科技局）</w:t>
      </w:r>
      <w:r>
        <w:rPr>
          <w:rFonts w:ascii="Times New Roman" w:hAnsi="Times New Roman" w:eastAsia="仿宋_GB2312"/>
          <w:sz w:val="32"/>
          <w:szCs w:val="22"/>
        </w:rPr>
        <w:t>。</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第十四条</w:t>
      </w:r>
      <w:r>
        <w:rPr>
          <w:rFonts w:hint="eastAsia" w:ascii="Times New Roman" w:hAnsi="Times New Roman" w:eastAsia="楷体_GB2312"/>
          <w:b/>
          <w:sz w:val="32"/>
          <w:szCs w:val="22"/>
        </w:rPr>
        <w:t>　</w:t>
      </w:r>
      <w:r>
        <w:rPr>
          <w:rFonts w:ascii="Times New Roman" w:hAnsi="Times New Roman" w:eastAsia="仿宋_GB2312"/>
          <w:sz w:val="32"/>
          <w:szCs w:val="22"/>
        </w:rPr>
        <w:t>受理初审。区县科技主管部门按照属地原则受理所属行政区域内企业研发投入补助申报材料。会同同级税务部门，逐一对企业申请材料进行审核。</w:t>
      </w:r>
    </w:p>
    <w:p>
      <w:pPr>
        <w:widowControl/>
        <w:spacing w:line="600" w:lineRule="exact"/>
        <w:rPr>
          <w:rFonts w:ascii="Times New Roman" w:hAnsi="Times New Roman" w:eastAsia="仿宋_GB2312"/>
          <w:sz w:val="32"/>
          <w:szCs w:val="22"/>
        </w:rPr>
      </w:pPr>
      <w:r>
        <w:rPr>
          <w:rFonts w:ascii="Times New Roman" w:hAnsi="Times New Roman" w:eastAsia="仿宋_GB2312"/>
          <w:b/>
          <w:sz w:val="32"/>
          <w:szCs w:val="22"/>
        </w:rPr>
        <w:t>　　</w:t>
      </w:r>
      <w:r>
        <w:rPr>
          <w:rFonts w:ascii="Times New Roman" w:hAnsi="Times New Roman" w:eastAsia="仿宋_GB2312"/>
          <w:sz w:val="32"/>
          <w:szCs w:val="22"/>
        </w:rPr>
        <w:t>（一）区县科技主管部门负责审核企业申报材料的完整性、真实性、合规性，确定拟补助企业名单及补助额度。</w:t>
      </w:r>
    </w:p>
    <w:p>
      <w:pPr>
        <w:widowControl/>
        <w:spacing w:line="600" w:lineRule="exact"/>
        <w:ind w:firstLine="600"/>
        <w:rPr>
          <w:rFonts w:ascii="Times New Roman" w:hAnsi="Times New Roman" w:eastAsia="仿宋_GB2312"/>
          <w:sz w:val="32"/>
          <w:szCs w:val="22"/>
        </w:rPr>
      </w:pPr>
      <w:r>
        <w:rPr>
          <w:rFonts w:ascii="Times New Roman" w:hAnsi="Times New Roman" w:eastAsia="仿宋_GB2312"/>
          <w:sz w:val="32"/>
          <w:szCs w:val="22"/>
        </w:rPr>
        <w:t>（二）区县税务部门负责确认企业填报的税前加计扣除研发投入与税务系统的申报记录是否一致。</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第十五条</w:t>
      </w:r>
      <w:r>
        <w:rPr>
          <w:rFonts w:hint="eastAsia" w:ascii="Times New Roman" w:hAnsi="Times New Roman" w:eastAsia="楷体_GB2312"/>
          <w:b/>
          <w:sz w:val="32"/>
          <w:szCs w:val="22"/>
        </w:rPr>
        <w:t>　</w:t>
      </w:r>
      <w:r>
        <w:rPr>
          <w:rFonts w:ascii="Times New Roman" w:hAnsi="Times New Roman" w:eastAsia="仿宋_GB2312"/>
          <w:sz w:val="32"/>
          <w:szCs w:val="22"/>
        </w:rPr>
        <w:t>初审汇总推荐。区</w:t>
      </w:r>
      <w:r>
        <w:rPr>
          <w:rFonts w:hint="eastAsia" w:ascii="Times New Roman" w:hAnsi="Times New Roman" w:eastAsia="仿宋_GB2312"/>
          <w:sz w:val="32"/>
          <w:szCs w:val="22"/>
        </w:rPr>
        <w:t>县科技主管部门</w:t>
      </w:r>
      <w:r>
        <w:rPr>
          <w:rFonts w:ascii="Times New Roman" w:hAnsi="Times New Roman" w:eastAsia="仿宋_GB2312"/>
          <w:sz w:val="32"/>
          <w:szCs w:val="22"/>
        </w:rPr>
        <w:t>汇总经初审合格的本行政区域内拟奖补企业名单及核定后补助额度</w:t>
      </w:r>
      <w:bookmarkStart w:id="0" w:name="_Hlk12299870"/>
      <w:r>
        <w:rPr>
          <w:rFonts w:hint="eastAsia" w:ascii="Times New Roman" w:hAnsi="Times New Roman" w:eastAsia="仿宋_GB2312"/>
          <w:sz w:val="32"/>
          <w:szCs w:val="22"/>
        </w:rPr>
        <w:t>，</w:t>
      </w:r>
      <w:r>
        <w:rPr>
          <w:rFonts w:ascii="Times New Roman" w:hAnsi="Times New Roman" w:eastAsia="仿宋_GB2312"/>
          <w:sz w:val="32"/>
          <w:szCs w:val="22"/>
        </w:rPr>
        <w:t>填报《宜宾</w:t>
      </w:r>
      <w:r>
        <w:rPr>
          <w:rFonts w:hint="eastAsia" w:ascii="Times New Roman" w:hAnsi="Times New Roman" w:eastAsia="仿宋_GB2312"/>
          <w:sz w:val="32"/>
          <w:szCs w:val="22"/>
        </w:rPr>
        <w:t>市</w:t>
      </w:r>
      <w:r>
        <w:rPr>
          <w:rFonts w:ascii="Times New Roman" w:hAnsi="Times New Roman" w:eastAsia="仿宋_GB2312"/>
          <w:sz w:val="32"/>
          <w:szCs w:val="22"/>
        </w:rPr>
        <w:t>支持企业研发财政奖补资金</w:t>
      </w:r>
      <w:r>
        <w:rPr>
          <w:rFonts w:hint="eastAsia" w:ascii="Times New Roman" w:hAnsi="Times New Roman" w:eastAsia="仿宋_GB2312"/>
          <w:sz w:val="32"/>
          <w:szCs w:val="22"/>
        </w:rPr>
        <w:t>申报</w:t>
      </w:r>
      <w:r>
        <w:rPr>
          <w:rFonts w:ascii="Times New Roman" w:hAnsi="Times New Roman" w:eastAsia="仿宋_GB2312"/>
          <w:sz w:val="32"/>
          <w:szCs w:val="22"/>
        </w:rPr>
        <w:t>汇总表》联合上报市科技局。</w:t>
      </w:r>
    </w:p>
    <w:bookmarkEnd w:id="0"/>
    <w:p>
      <w:pPr>
        <w:widowControl/>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第十六条</w:t>
      </w:r>
      <w:r>
        <w:rPr>
          <w:rFonts w:hint="eastAsia" w:ascii="Times New Roman" w:hAnsi="Times New Roman" w:eastAsia="楷体_GB2312"/>
          <w:b/>
          <w:sz w:val="32"/>
          <w:szCs w:val="22"/>
        </w:rPr>
        <w:t>　</w:t>
      </w:r>
      <w:r>
        <w:rPr>
          <w:rFonts w:ascii="Times New Roman" w:hAnsi="Times New Roman" w:eastAsia="仿宋_GB2312"/>
          <w:sz w:val="32"/>
          <w:szCs w:val="22"/>
        </w:rPr>
        <w:t>汇总核定。市科技局汇总区县上报材料，会同市财政局、</w:t>
      </w:r>
      <w:r>
        <w:rPr>
          <w:rFonts w:hint="eastAsia" w:ascii="Times New Roman" w:hAnsi="Times New Roman" w:eastAsia="仿宋_GB2312"/>
          <w:sz w:val="32"/>
          <w:szCs w:val="32"/>
        </w:rPr>
        <w:t>宜宾</w:t>
      </w:r>
      <w:r>
        <w:rPr>
          <w:rFonts w:hint="eastAsia" w:ascii="Times New Roman" w:hAnsi="Times New Roman" w:eastAsia="仿宋_GB2312"/>
          <w:sz w:val="32"/>
          <w:szCs w:val="22"/>
        </w:rPr>
        <w:t>市税务局</w:t>
      </w:r>
      <w:r>
        <w:rPr>
          <w:rFonts w:ascii="Times New Roman" w:hAnsi="Times New Roman" w:eastAsia="仿宋_GB2312"/>
          <w:sz w:val="32"/>
          <w:szCs w:val="22"/>
        </w:rPr>
        <w:t>，</w:t>
      </w:r>
      <w:r>
        <w:rPr>
          <w:rFonts w:hint="eastAsia" w:ascii="Times New Roman" w:hAnsi="Times New Roman" w:eastAsia="仿宋_GB2312"/>
          <w:sz w:val="32"/>
          <w:szCs w:val="22"/>
        </w:rPr>
        <w:t>共同</w:t>
      </w:r>
      <w:r>
        <w:rPr>
          <w:rFonts w:ascii="Times New Roman" w:hAnsi="Times New Roman" w:eastAsia="仿宋_GB2312"/>
          <w:sz w:val="32"/>
          <w:szCs w:val="22"/>
        </w:rPr>
        <w:t>核定拟奖补企业名单及补助额度。</w:t>
      </w:r>
    </w:p>
    <w:p>
      <w:pPr>
        <w:spacing w:after="312" w:afterLines="100" w:line="600" w:lineRule="exact"/>
        <w:ind w:firstLine="640" w:firstLineChars="200"/>
        <w:rPr>
          <w:rFonts w:ascii="Times New Roman" w:hAnsi="黑体" w:eastAsia="黑体"/>
          <w:sz w:val="32"/>
          <w:szCs w:val="32"/>
        </w:rPr>
      </w:pPr>
      <w:r>
        <w:rPr>
          <w:rFonts w:hint="eastAsia" w:ascii="黑体" w:hAnsi="黑体" w:eastAsia="黑体" w:cs="黑体"/>
          <w:bCs/>
          <w:sz w:val="32"/>
          <w:szCs w:val="32"/>
        </w:rPr>
        <w:t>第十七条</w:t>
      </w:r>
      <w:r>
        <w:rPr>
          <w:rFonts w:hint="eastAsia" w:ascii="Times New Roman" w:hAnsi="Times New Roman" w:eastAsia="楷体_GB2312"/>
          <w:b/>
          <w:sz w:val="32"/>
          <w:szCs w:val="22"/>
        </w:rPr>
        <w:t>　</w:t>
      </w:r>
      <w:r>
        <w:rPr>
          <w:rFonts w:ascii="Times New Roman" w:hAnsi="Times New Roman" w:eastAsia="仿宋_GB2312"/>
          <w:sz w:val="32"/>
          <w:szCs w:val="22"/>
        </w:rPr>
        <w:t>公示</w:t>
      </w:r>
      <w:r>
        <w:rPr>
          <w:rFonts w:hint="eastAsia" w:ascii="Times New Roman" w:hAnsi="Times New Roman" w:eastAsia="仿宋_GB2312"/>
          <w:sz w:val="32"/>
          <w:szCs w:val="22"/>
        </w:rPr>
        <w:t>及资金拨付</w:t>
      </w:r>
      <w:r>
        <w:rPr>
          <w:rFonts w:ascii="Times New Roman" w:hAnsi="Times New Roman" w:eastAsia="仿宋_GB2312"/>
          <w:sz w:val="32"/>
          <w:szCs w:val="22"/>
        </w:rPr>
        <w:t>。市科技局、市财政局、</w:t>
      </w:r>
      <w:r>
        <w:rPr>
          <w:rFonts w:hint="eastAsia" w:ascii="Times New Roman" w:hAnsi="Times New Roman" w:eastAsia="仿宋_GB2312"/>
          <w:sz w:val="32"/>
          <w:szCs w:val="32"/>
        </w:rPr>
        <w:t>宜宾</w:t>
      </w:r>
      <w:r>
        <w:rPr>
          <w:rFonts w:hint="eastAsia" w:ascii="Times New Roman" w:hAnsi="Times New Roman" w:eastAsia="仿宋_GB2312"/>
          <w:sz w:val="32"/>
          <w:szCs w:val="22"/>
        </w:rPr>
        <w:t>市税务局</w:t>
      </w:r>
      <w:r>
        <w:rPr>
          <w:rFonts w:ascii="Times New Roman" w:hAnsi="Times New Roman" w:eastAsia="仿宋_GB2312"/>
          <w:sz w:val="32"/>
          <w:szCs w:val="22"/>
        </w:rPr>
        <w:t>对拟纳入企业研发投入补助名单向社会公示</w:t>
      </w:r>
      <w:r>
        <w:rPr>
          <w:rFonts w:hint="eastAsia" w:ascii="Times New Roman" w:hAnsi="Times New Roman" w:eastAsia="仿宋_GB2312"/>
          <w:sz w:val="32"/>
          <w:szCs w:val="22"/>
        </w:rPr>
        <w:t>，公示无异议后，由市财政局会同市科技局按程序报批后拨付下达。</w:t>
      </w:r>
    </w:p>
    <w:p>
      <w:pPr>
        <w:spacing w:after="312" w:afterLines="100" w:line="600" w:lineRule="exact"/>
        <w:jc w:val="center"/>
        <w:rPr>
          <w:rFonts w:ascii="Times New Roman" w:hAnsi="Times New Roman" w:eastAsia="黑体"/>
          <w:sz w:val="32"/>
          <w:szCs w:val="32"/>
        </w:rPr>
      </w:pPr>
      <w:r>
        <w:rPr>
          <w:rFonts w:ascii="Times New Roman" w:hAnsi="黑体" w:eastAsia="黑体"/>
          <w:sz w:val="32"/>
          <w:szCs w:val="32"/>
        </w:rPr>
        <w:t>第</w:t>
      </w:r>
      <w:r>
        <w:rPr>
          <w:rFonts w:hint="eastAsia" w:ascii="Times New Roman" w:hAnsi="黑体" w:eastAsia="黑体"/>
          <w:sz w:val="32"/>
          <w:szCs w:val="32"/>
        </w:rPr>
        <w:t>五</w:t>
      </w:r>
      <w:r>
        <w:rPr>
          <w:rFonts w:ascii="Times New Roman" w:hAnsi="黑体" w:eastAsia="黑体"/>
          <w:sz w:val="32"/>
          <w:szCs w:val="32"/>
        </w:rPr>
        <w:t>章申报材料</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第十八条</w:t>
      </w:r>
      <w:r>
        <w:rPr>
          <w:rFonts w:hint="eastAsia" w:ascii="Times New Roman" w:hAnsi="Times New Roman" w:eastAsia="楷体_GB2312"/>
          <w:b/>
          <w:sz w:val="32"/>
          <w:szCs w:val="22"/>
        </w:rPr>
        <w:t>　</w:t>
      </w:r>
      <w:r>
        <w:rPr>
          <w:rFonts w:ascii="Times New Roman" w:hAnsi="Times New Roman" w:eastAsia="仿宋_GB2312"/>
          <w:sz w:val="32"/>
          <w:szCs w:val="22"/>
        </w:rPr>
        <w:t>申报研发投入补助的企业应提供以下材料，并对所提供材料的真实性负责：</w:t>
      </w:r>
    </w:p>
    <w:p>
      <w:pPr>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（一）《宜宾市企业研发投入补助申请表》</w:t>
      </w:r>
      <w:r>
        <w:rPr>
          <w:rFonts w:hint="eastAsia" w:ascii="Times New Roman" w:hAnsi="Times New Roman" w:eastAsia="仿宋_GB2312"/>
          <w:sz w:val="32"/>
          <w:szCs w:val="22"/>
        </w:rPr>
        <w:t>。</w:t>
      </w:r>
    </w:p>
    <w:p>
      <w:pPr>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（二）报送给税务部门的企业核算周期内的《中华人民共和国企业所得税年度纳税申报表（A类）》主表及《研发费用加计扣除优惠明细表》附表。</w:t>
      </w:r>
    </w:p>
    <w:p>
      <w:pPr>
        <w:spacing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（三）规模以上</w:t>
      </w:r>
      <w:r>
        <w:rPr>
          <w:rFonts w:hint="eastAsia" w:ascii="Times New Roman" w:hAnsi="Times New Roman" w:eastAsia="仿宋_GB2312"/>
          <w:sz w:val="32"/>
          <w:szCs w:val="22"/>
        </w:rPr>
        <w:t>企业</w:t>
      </w:r>
      <w:r>
        <w:rPr>
          <w:rFonts w:ascii="Times New Roman" w:hAnsi="Times New Roman" w:eastAsia="仿宋_GB2312"/>
          <w:sz w:val="32"/>
          <w:szCs w:val="22"/>
        </w:rPr>
        <w:t>需提供核算周期内规上企业研发统计年度报表（含研究开发项目情况表、企业研究开发活动及相关情况表）。</w:t>
      </w:r>
    </w:p>
    <w:p>
      <w:pPr>
        <w:spacing w:after="312" w:afterLines="100" w:line="600" w:lineRule="exact"/>
        <w:ind w:firstLine="640" w:firstLineChars="200"/>
        <w:rPr>
          <w:rFonts w:ascii="Times New Roman" w:hAnsi="Times New Roman" w:eastAsia="仿宋_GB2312"/>
          <w:sz w:val="32"/>
          <w:szCs w:val="22"/>
        </w:rPr>
      </w:pPr>
      <w:r>
        <w:rPr>
          <w:rFonts w:ascii="Times New Roman" w:hAnsi="Times New Roman" w:eastAsia="仿宋_GB2312"/>
          <w:sz w:val="32"/>
          <w:szCs w:val="22"/>
        </w:rPr>
        <w:t>（四）其他相关材料。</w:t>
      </w:r>
    </w:p>
    <w:p>
      <w:pPr>
        <w:spacing w:after="312" w:afterLines="100" w:line="600" w:lineRule="exact"/>
        <w:jc w:val="center"/>
        <w:rPr>
          <w:rFonts w:ascii="Times New Roman" w:hAnsi="Times New Roman" w:eastAsia="黑体"/>
          <w:color w:val="000000"/>
          <w:sz w:val="32"/>
          <w:szCs w:val="32"/>
        </w:rPr>
      </w:pPr>
      <w:r>
        <w:rPr>
          <w:rFonts w:ascii="Times New Roman" w:hAnsi="黑体" w:eastAsia="黑体"/>
          <w:color w:val="000000"/>
          <w:sz w:val="32"/>
          <w:szCs w:val="32"/>
        </w:rPr>
        <w:t>第</w:t>
      </w:r>
      <w:r>
        <w:rPr>
          <w:rFonts w:hint="eastAsia" w:ascii="Times New Roman" w:hAnsi="黑体" w:eastAsia="黑体"/>
          <w:color w:val="000000"/>
          <w:sz w:val="32"/>
          <w:szCs w:val="32"/>
        </w:rPr>
        <w:t>六</w:t>
      </w:r>
      <w:r>
        <w:rPr>
          <w:rFonts w:ascii="Times New Roman" w:hAnsi="黑体" w:eastAsia="黑体"/>
          <w:color w:val="000000"/>
          <w:sz w:val="32"/>
          <w:szCs w:val="32"/>
        </w:rPr>
        <w:t>章补助经费的使用及管理</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第十九条</w:t>
      </w:r>
      <w:r>
        <w:rPr>
          <w:rFonts w:hint="eastAsia" w:ascii="Times New Roman" w:hAnsi="Times New Roman" w:eastAsia="楷体_GB2312"/>
          <w:b/>
          <w:sz w:val="32"/>
          <w:szCs w:val="22"/>
        </w:rPr>
        <w:t>　</w:t>
      </w:r>
      <w:r>
        <w:rPr>
          <w:rFonts w:ascii="Times New Roman" w:hAnsi="Times New Roman" w:eastAsia="仿宋_GB2312"/>
          <w:sz w:val="32"/>
          <w:szCs w:val="22"/>
        </w:rPr>
        <w:t>市级财政补助经费由被补助单位自主安排用于开展科技创新相关的活动，不得用于支付各种罚款、捐款、赞助及偿还债务等支出，不得用于编制内在职人员的工资性支出和离退休费用，以及国家规定禁止列支的其他支出，严格执行《宜宾市科技计划项目暂行管理办法》(宜科发</w:t>
      </w:r>
      <w:r>
        <w:rPr>
          <w:rFonts w:ascii="Times New Roman" w:hAnsi="宋体"/>
          <w:sz w:val="32"/>
          <w:szCs w:val="22"/>
        </w:rPr>
        <w:t>﹝</w:t>
      </w:r>
      <w:r>
        <w:rPr>
          <w:rFonts w:ascii="Times New Roman" w:hAnsi="Times New Roman" w:eastAsia="仿宋_GB2312"/>
          <w:sz w:val="32"/>
          <w:szCs w:val="22"/>
        </w:rPr>
        <w:t>2018</w:t>
      </w:r>
      <w:r>
        <w:rPr>
          <w:rFonts w:ascii="Times New Roman" w:hAnsi="宋体"/>
          <w:sz w:val="32"/>
          <w:szCs w:val="22"/>
        </w:rPr>
        <w:t>﹞</w:t>
      </w:r>
      <w:r>
        <w:rPr>
          <w:rFonts w:ascii="Times New Roman" w:hAnsi="Times New Roman" w:eastAsia="仿宋_GB2312"/>
          <w:sz w:val="32"/>
          <w:szCs w:val="22"/>
        </w:rPr>
        <w:t>39号)和《宜宾市科技专项资金暂行使用管理办法》(宜财发〔2018〕47号)等财务规章制度和会计核算办法，自觉接受审计、财政、监察</w:t>
      </w:r>
      <w:r>
        <w:rPr>
          <w:rFonts w:hint="eastAsia" w:ascii="Times New Roman" w:hAnsi="Times New Roman" w:eastAsia="仿宋_GB2312"/>
          <w:sz w:val="32"/>
          <w:szCs w:val="22"/>
        </w:rPr>
        <w:t>等</w:t>
      </w:r>
      <w:r>
        <w:rPr>
          <w:rFonts w:ascii="Times New Roman" w:hAnsi="Times New Roman" w:eastAsia="仿宋_GB2312"/>
          <w:sz w:val="32"/>
          <w:szCs w:val="22"/>
        </w:rPr>
        <w:t>部门的监督检查。</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第二十条</w:t>
      </w:r>
      <w:r>
        <w:rPr>
          <w:rFonts w:hint="eastAsia" w:ascii="Times New Roman" w:hAnsi="Times New Roman" w:eastAsia="楷体_GB2312"/>
          <w:b/>
          <w:sz w:val="32"/>
          <w:szCs w:val="22"/>
        </w:rPr>
        <w:t>　</w:t>
      </w:r>
      <w:r>
        <w:rPr>
          <w:rFonts w:ascii="Times New Roman" w:hAnsi="Times New Roman" w:eastAsia="仿宋_GB2312"/>
          <w:sz w:val="32"/>
          <w:szCs w:val="22"/>
        </w:rPr>
        <w:t>市科技局、市财政局、</w:t>
      </w:r>
      <w:r>
        <w:rPr>
          <w:rFonts w:hint="eastAsia" w:ascii="Times New Roman" w:hAnsi="Times New Roman" w:eastAsia="仿宋_GB2312"/>
          <w:sz w:val="32"/>
          <w:szCs w:val="32"/>
        </w:rPr>
        <w:t>宜宾</w:t>
      </w:r>
      <w:r>
        <w:rPr>
          <w:rFonts w:hint="eastAsia" w:ascii="Times New Roman" w:hAnsi="Times New Roman" w:eastAsia="仿宋_GB2312"/>
          <w:sz w:val="32"/>
          <w:szCs w:val="22"/>
        </w:rPr>
        <w:t>市税务局</w:t>
      </w:r>
      <w:r>
        <w:rPr>
          <w:rFonts w:ascii="Times New Roman" w:hAnsi="Times New Roman" w:eastAsia="仿宋_GB2312"/>
          <w:sz w:val="32"/>
          <w:szCs w:val="22"/>
        </w:rPr>
        <w:t>将会同区县相关管理部门对获得补助的企业开展不定期抽查，对以弄虚作假等手段套取骗取资金等违法违规行为的，按照有关法律法规处理并追回财政资金，将企业列入失信名单，企业十年内不得申请市级</w:t>
      </w:r>
      <w:r>
        <w:rPr>
          <w:rFonts w:hint="eastAsia" w:ascii="Times New Roman" w:hAnsi="Times New Roman" w:eastAsia="仿宋_GB2312"/>
          <w:sz w:val="32"/>
          <w:szCs w:val="22"/>
        </w:rPr>
        <w:t>及</w:t>
      </w:r>
      <w:r>
        <w:rPr>
          <w:rFonts w:ascii="Times New Roman" w:hAnsi="Times New Roman" w:eastAsia="仿宋_GB2312"/>
          <w:sz w:val="32"/>
          <w:szCs w:val="22"/>
        </w:rPr>
        <w:t>以上科技计划项目。涉嫌犯罪的，依法移送司法机关处理。</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第二十一条</w:t>
      </w:r>
      <w:r>
        <w:rPr>
          <w:rFonts w:hint="eastAsia" w:ascii="Times New Roman" w:hAnsi="Times New Roman" w:eastAsia="楷体_GB2312"/>
          <w:b/>
          <w:sz w:val="32"/>
          <w:szCs w:val="22"/>
        </w:rPr>
        <w:t>　</w:t>
      </w:r>
      <w:r>
        <w:rPr>
          <w:rFonts w:hint="eastAsia" w:ascii="Times New Roman" w:hAnsi="Times New Roman" w:eastAsia="仿宋_GB2312"/>
          <w:sz w:val="32"/>
          <w:szCs w:val="22"/>
        </w:rPr>
        <w:t>市县（区）</w:t>
      </w:r>
      <w:r>
        <w:rPr>
          <w:rFonts w:ascii="Times New Roman" w:hAnsi="Times New Roman" w:eastAsia="仿宋_GB2312"/>
          <w:sz w:val="32"/>
          <w:szCs w:val="22"/>
        </w:rPr>
        <w:t>科技、财政、</w:t>
      </w:r>
      <w:r>
        <w:rPr>
          <w:rFonts w:hint="eastAsia" w:ascii="Times New Roman" w:hAnsi="Times New Roman" w:eastAsia="仿宋_GB2312"/>
          <w:sz w:val="32"/>
          <w:szCs w:val="22"/>
        </w:rPr>
        <w:t>税务</w:t>
      </w:r>
      <w:r>
        <w:rPr>
          <w:rFonts w:ascii="Times New Roman" w:hAnsi="Times New Roman" w:eastAsia="仿宋_GB2312"/>
          <w:sz w:val="32"/>
          <w:szCs w:val="22"/>
        </w:rPr>
        <w:t>部门以及相关区县推荐单位、工作人员在专项资金管理工作中，存在滥用职权、玩忽职守、徇私舞弊等违法违纪行为的，按照《中华人民共和国预算法》《中华人民共和国公务员法》《中华人民共和国监察法》《财政违法行为处罚处分条例》等有关规定追究有关责任单位和人员的责任；涉嫌违纪违法的，移送纪检监察机关和司法机关处理。</w:t>
      </w:r>
    </w:p>
    <w:p>
      <w:pPr>
        <w:spacing w:after="312" w:afterLines="100"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第二十二条</w:t>
      </w:r>
      <w:r>
        <w:rPr>
          <w:rFonts w:hint="eastAsia" w:ascii="Times New Roman" w:hAnsi="Times New Roman" w:eastAsia="楷体_GB2312"/>
          <w:b/>
          <w:sz w:val="32"/>
          <w:szCs w:val="22"/>
        </w:rPr>
        <w:t>　</w:t>
      </w:r>
      <w:r>
        <w:rPr>
          <w:rFonts w:hint="eastAsia" w:ascii="Times New Roman" w:hAnsi="Times New Roman" w:eastAsia="仿宋_GB2312"/>
          <w:sz w:val="32"/>
          <w:szCs w:val="22"/>
        </w:rPr>
        <w:t>市县（区）科技、财政、税务、统计部门等应建立交流通报、监督检查和绩效评价机制，</w:t>
      </w:r>
      <w:r>
        <w:rPr>
          <w:rFonts w:ascii="Times New Roman" w:hAnsi="Times New Roman" w:eastAsia="仿宋_GB2312"/>
          <w:sz w:val="32"/>
          <w:szCs w:val="22"/>
        </w:rPr>
        <w:t>加强统筹协调，推进信息共享。</w:t>
      </w:r>
    </w:p>
    <w:p>
      <w:pPr>
        <w:spacing w:after="312" w:afterLines="100" w:line="600" w:lineRule="exact"/>
        <w:jc w:val="center"/>
        <w:rPr>
          <w:rFonts w:ascii="Times New Roman" w:hAnsi="Times New Roman" w:eastAsia="黑体"/>
          <w:sz w:val="32"/>
          <w:szCs w:val="32"/>
        </w:rPr>
      </w:pPr>
      <w:r>
        <w:rPr>
          <w:rFonts w:ascii="Times New Roman" w:hAnsi="黑体" w:eastAsia="黑体"/>
          <w:sz w:val="32"/>
          <w:szCs w:val="32"/>
        </w:rPr>
        <w:t>第</w:t>
      </w:r>
      <w:r>
        <w:rPr>
          <w:rFonts w:hint="eastAsia" w:ascii="Times New Roman" w:hAnsi="黑体" w:eastAsia="黑体"/>
          <w:sz w:val="32"/>
          <w:szCs w:val="32"/>
        </w:rPr>
        <w:t>七</w:t>
      </w:r>
      <w:r>
        <w:rPr>
          <w:rFonts w:ascii="Times New Roman" w:hAnsi="黑体" w:eastAsia="黑体"/>
          <w:sz w:val="32"/>
          <w:szCs w:val="32"/>
        </w:rPr>
        <w:t>章附则</w:t>
      </w:r>
    </w:p>
    <w:p>
      <w:pPr>
        <w:spacing w:line="600" w:lineRule="exact"/>
        <w:ind w:firstLine="640" w:firstLineChars="200"/>
        <w:rPr>
          <w:rFonts w:ascii="Times New Roman" w:hAnsi="Times New Roman" w:eastAsia="仿宋_GB2312"/>
          <w:sz w:val="32"/>
          <w:szCs w:val="22"/>
        </w:rPr>
      </w:pPr>
      <w:r>
        <w:rPr>
          <w:rFonts w:hint="eastAsia" w:ascii="黑体" w:hAnsi="黑体" w:eastAsia="黑体" w:cs="黑体"/>
          <w:bCs/>
          <w:sz w:val="32"/>
          <w:szCs w:val="32"/>
        </w:rPr>
        <w:t>第二十三条</w:t>
      </w:r>
      <w:r>
        <w:rPr>
          <w:rFonts w:hint="eastAsia" w:ascii="Times New Roman" w:hAnsi="Times New Roman" w:eastAsia="楷体_GB2312"/>
          <w:b/>
          <w:sz w:val="32"/>
          <w:szCs w:val="22"/>
        </w:rPr>
        <w:t>　</w:t>
      </w:r>
      <w:r>
        <w:rPr>
          <w:rFonts w:ascii="Times New Roman" w:hAnsi="Times New Roman" w:eastAsia="仿宋_GB2312"/>
          <w:sz w:val="32"/>
          <w:szCs w:val="22"/>
        </w:rPr>
        <w:t>本办法由市科技局、市财政局、</w:t>
      </w:r>
      <w:r>
        <w:rPr>
          <w:rFonts w:hint="eastAsia" w:ascii="Times New Roman" w:hAnsi="Times New Roman" w:eastAsia="仿宋_GB2312"/>
          <w:sz w:val="32"/>
          <w:szCs w:val="32"/>
        </w:rPr>
        <w:t>宜宾</w:t>
      </w:r>
      <w:r>
        <w:rPr>
          <w:rFonts w:hint="eastAsia" w:ascii="Times New Roman" w:hAnsi="Times New Roman" w:eastAsia="仿宋_GB2312"/>
          <w:sz w:val="32"/>
          <w:szCs w:val="22"/>
        </w:rPr>
        <w:t>市税务局</w:t>
      </w:r>
      <w:r>
        <w:rPr>
          <w:rFonts w:ascii="Times New Roman" w:hAnsi="Times New Roman" w:eastAsia="仿宋_GB2312"/>
          <w:sz w:val="32"/>
          <w:szCs w:val="22"/>
        </w:rPr>
        <w:t>负责解释。</w:t>
      </w:r>
    </w:p>
    <w:p>
      <w:r>
        <w:rPr>
          <w:rFonts w:hint="eastAsia" w:ascii="黑体" w:hAnsi="黑体" w:eastAsia="黑体" w:cs="黑体"/>
          <w:bCs/>
          <w:sz w:val="32"/>
          <w:szCs w:val="32"/>
        </w:rPr>
        <w:t>第二十四条</w:t>
      </w:r>
      <w:r>
        <w:rPr>
          <w:rFonts w:hint="eastAsia" w:ascii="Times New Roman" w:hAnsi="Times New Roman" w:eastAsia="楷体_GB2312"/>
          <w:b/>
          <w:sz w:val="32"/>
          <w:szCs w:val="22"/>
        </w:rPr>
        <w:t>　</w:t>
      </w:r>
      <w:r>
        <w:rPr>
          <w:rFonts w:ascii="Times New Roman" w:hAnsi="Times New Roman" w:eastAsia="仿宋_GB2312"/>
          <w:sz w:val="32"/>
          <w:szCs w:val="22"/>
        </w:rPr>
        <w:t>本办法自</w:t>
      </w:r>
      <w:r>
        <w:rPr>
          <w:rFonts w:hint="eastAsia" w:ascii="Times New Roman" w:hAnsi="Times New Roman" w:eastAsia="仿宋_GB2312"/>
          <w:sz w:val="32"/>
          <w:szCs w:val="22"/>
        </w:rPr>
        <w:t>2021年1月1日起实施</w:t>
      </w:r>
      <w:r>
        <w:rPr>
          <w:rFonts w:ascii="Times New Roman" w:hAnsi="Times New Roman" w:eastAsia="仿宋_GB2312"/>
          <w:sz w:val="32"/>
          <w:szCs w:val="22"/>
        </w:rPr>
        <w:t>，有效期两年。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Arial Unicode MS"/>
    <w:panose1 w:val="02000000000000000000"/>
    <w:charset w:val="86"/>
    <w:family w:val="script"/>
    <w:pitch w:val="default"/>
    <w:sig w:usb0="00000000" w:usb1="00000000" w:usb2="00000000" w:usb3="00000000" w:csb0="00040000" w:csb1="00000000"/>
  </w:font>
  <w:font w:name="方正小标宋简体">
    <w:altName w:val="Arial Unicode MS"/>
    <w:panose1 w:val="02000000000000000000"/>
    <w:charset w:val="86"/>
    <w:family w:val="script"/>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5B6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2021-10-21T09:25:28Z</dcterms:created>
  <dc:creator>Administrator</dc:creator>
  <cp:lastModifiedBy>天堂之令</cp:lastModifiedBy>
  <dcterms:modified xsi:type="dcterms:W3CDTF">2021-10-21T09:25:50Z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166A7F53BB78446F83A797116BCC3C61</vt:lpwstr>
  </property>
</Properties>
</file>